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center"/>
          </w:tcPr>
          <w:tbl>
            <w:tblPr>
              <w:tblW w:w="41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50" w:hRule="atLeast"/>
                <w:jc w:val="center"/>
              </w:trPr>
              <w:tc>
                <w:tcPr>
                  <w:tcW w:w="0" w:type="auto"/>
                  <w:shd w:val="clear"/>
                  <w:tcMar>
                    <w:top w:w="150" w:type="dxa"/>
                    <w:left w:w="300" w:type="dxa"/>
                    <w:bottom w:w="150" w:type="dxa"/>
                    <w:right w:w="300" w:type="dxa"/>
                  </w:tcMar>
                  <w:vAlign w:val="center"/>
                </w:tcPr>
                <w:p>
                  <w:pPr>
                    <w:keepNext w:val="0"/>
                    <w:keepLines w:val="0"/>
                    <w:widowControl/>
                    <w:suppressLineNumbers w:val="0"/>
                    <w:spacing w:line="315" w:lineRule="atLeast"/>
                    <w:jc w:val="center"/>
                    <w:rPr>
                      <w:rFonts w:hint="eastAsia" w:ascii="宋体" w:hAnsi="宋体" w:eastAsia="宋体" w:cs="宋体"/>
                      <w:b/>
                      <w:bCs/>
                      <w:color w:val="CC3300"/>
                      <w:sz w:val="30"/>
                      <w:szCs w:val="30"/>
                    </w:rPr>
                  </w:pPr>
                  <w:r>
                    <w:rPr>
                      <w:rFonts w:hint="eastAsia" w:ascii="宋体" w:hAnsi="宋体" w:eastAsia="宋体" w:cs="宋体"/>
                      <w:b/>
                      <w:bCs/>
                      <w:color w:val="CC3300"/>
                      <w:kern w:val="0"/>
                      <w:sz w:val="30"/>
                      <w:szCs w:val="30"/>
                      <w:bdr w:val="none" w:color="auto" w:sz="0" w:space="0"/>
                      <w:lang w:val="en-US" w:eastAsia="zh-CN" w:bidi="ar"/>
                    </w:rPr>
                    <w:t xml:space="preserve">安徽省教育厅、安徽省物价局、安徽省财政厅《关于进一步完善我省高校收费政策有关问题的通知》 </w:t>
                  </w:r>
                </w:p>
              </w:tc>
            </w:tr>
          </w:tbl>
          <w:p>
            <w:pPr>
              <w:rPr>
                <w:vanish/>
                <w:sz w:val="24"/>
                <w:szCs w:val="24"/>
              </w:rPr>
            </w:pPr>
          </w:p>
          <w:tbl>
            <w:tblPr>
              <w:tblW w:w="41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 w:hRule="atLeast"/>
                <w:jc w:val="center"/>
              </w:trPr>
              <w:tc>
                <w:tcPr>
                  <w:tcW w:w="0" w:type="auto"/>
                  <w:shd w:val="clear" w:color="auto" w:fill="50AA94"/>
                  <w:vAlign w:val="center"/>
                </w:tcPr>
                <w:p>
                  <w:pPr>
                    <w:jc w:val="center"/>
                    <w:rPr>
                      <w:rFonts w:hint="eastAsia" w:ascii="宋体"/>
                      <w:color w:val="262626"/>
                      <w:sz w:val="18"/>
                      <w:szCs w:val="18"/>
                    </w:rPr>
                  </w:pPr>
                </w:p>
              </w:tc>
            </w:tr>
          </w:tbl>
          <w:p>
            <w:pPr>
              <w:rPr>
                <w:vanish/>
                <w:sz w:val="24"/>
                <w:szCs w:val="24"/>
              </w:rPr>
            </w:pPr>
          </w:p>
          <w:tbl>
            <w:tblPr>
              <w:tblW w:w="41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jc w:val="center"/>
              </w:trPr>
              <w:tc>
                <w:tcPr>
                  <w:tcW w:w="0" w:type="auto"/>
                  <w:shd w:val="clear"/>
                  <w:vAlign w:val="center"/>
                </w:tcPr>
                <w:p>
                  <w:pPr>
                    <w:keepNext w:val="0"/>
                    <w:keepLines w:val="0"/>
                    <w:widowControl/>
                    <w:suppressLineNumbers w:val="0"/>
                    <w:jc w:val="center"/>
                    <w:rPr>
                      <w:color w:val="262626"/>
                      <w:sz w:val="18"/>
                      <w:szCs w:val="18"/>
                    </w:rPr>
                  </w:pPr>
                  <w:r>
                    <w:rPr>
                      <w:rStyle w:val="9"/>
                      <w:rFonts w:ascii="宋体" w:hAnsi="宋体" w:eastAsia="宋体" w:cs="宋体"/>
                      <w:sz w:val="18"/>
                      <w:szCs w:val="18"/>
                      <w:lang w:val="en-US" w:eastAsia="zh-CN" w:bidi="ar"/>
                    </w:rPr>
                    <w:t xml:space="preserve">发布时间： </w:t>
                  </w:r>
                  <w:r>
                    <w:rPr>
                      <w:rFonts w:ascii="宋体" w:hAnsi="宋体" w:eastAsia="宋体" w:cs="宋体"/>
                      <w:kern w:val="0"/>
                      <w:sz w:val="18"/>
                      <w:szCs w:val="18"/>
                      <w:lang w:val="en-US" w:eastAsia="zh-CN" w:bidi="ar"/>
                    </w:rPr>
                    <w:t>2024-07-19</w:t>
                  </w:r>
                  <w:r>
                    <w:rPr>
                      <w:rStyle w:val="9"/>
                      <w:rFonts w:ascii="宋体" w:hAnsi="宋体" w:eastAsia="宋体" w:cs="宋体"/>
                      <w:sz w:val="18"/>
                      <w:szCs w:val="18"/>
                      <w:lang w:val="en-US" w:eastAsia="zh-CN" w:bidi="ar"/>
                    </w:rPr>
                    <w:t xml:space="preserve"> 浏览次数： </w:t>
                  </w:r>
                  <w:r>
                    <w:rPr>
                      <w:rStyle w:val="10"/>
                      <w:rFonts w:ascii="宋体" w:hAnsi="宋体" w:eastAsia="宋体" w:cs="宋体"/>
                      <w:sz w:val="18"/>
                      <w:szCs w:val="18"/>
                      <w:lang w:val="en-US" w:eastAsia="zh-CN" w:bidi="ar"/>
                    </w:rPr>
                    <w:t>10</w:t>
                  </w:r>
                  <w:r>
                    <w:rPr>
                      <w:rStyle w:val="9"/>
                      <w:rFonts w:ascii="宋体" w:hAnsi="宋体" w:eastAsia="宋体" w:cs="宋体"/>
                      <w:sz w:val="18"/>
                      <w:szCs w:val="18"/>
                      <w:lang w:val="en-US" w:eastAsia="zh-CN" w:bidi="ar"/>
                    </w:rPr>
                    <w:t xml:space="preserve"> </w:t>
                  </w:r>
                </w:p>
              </w:tc>
            </w:tr>
          </w:tbl>
          <w:p>
            <w:pPr>
              <w:rPr>
                <w:vanish/>
                <w:sz w:val="24"/>
                <w:szCs w:val="24"/>
              </w:rPr>
            </w:pPr>
          </w:p>
          <w:tbl>
            <w:tblPr>
              <w:tblW w:w="41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1" w:hRule="atLeast"/>
                <w:jc w:val="center"/>
              </w:trPr>
              <w:tc>
                <w:tcPr>
                  <w:tcW w:w="0" w:type="auto"/>
                  <w:shd w:val="clear"/>
                  <w:vAlign w:val="center"/>
                </w:tcPr>
                <w:p>
                  <w:pPr>
                    <w:jc w:val="center"/>
                    <w:rPr>
                      <w:rFonts w:hint="eastAsia" w:ascii="宋体"/>
                      <w:color w:val="262626"/>
                      <w:sz w:val="18"/>
                      <w:szCs w:val="18"/>
                    </w:rPr>
                  </w:pPr>
                </w:p>
              </w:tc>
            </w:tr>
          </w:tbl>
          <w:p>
            <w:pPr>
              <w:jc w:val="center"/>
              <w:rPr>
                <w:color w:val="262626"/>
                <w:sz w:val="18"/>
                <w:szCs w:val="18"/>
              </w:rPr>
            </w:pPr>
          </w:p>
        </w:tc>
      </w:tr>
    </w:tbl>
    <w:p>
      <w:pPr>
        <w:rPr>
          <w:vanish/>
          <w:sz w:val="24"/>
          <w:szCs w:val="24"/>
        </w:rPr>
      </w:pPr>
    </w:p>
    <w:tbl>
      <w:tblPr>
        <w:tblW w:w="6131" w:type="pct"/>
        <w:tblInd w:w="-1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shd w:val="clear"/>
            <w:vAlign w:val="top"/>
          </w:tcPr>
          <w:tbl>
            <w:tblPr>
              <w:tblW w:w="496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0" w:hRule="atLeast"/>
                <w:jc w:val="center"/>
              </w:trPr>
              <w:tc>
                <w:tcPr>
                  <w:tcW w:w="5000" w:type="pct"/>
                  <w:shd w:val="clear"/>
                  <w:vAlign w:val="top"/>
                </w:tcPr>
                <w:p>
                  <w:pPr>
                    <w:pStyle w:val="2"/>
                    <w:keepNext w:val="0"/>
                    <w:keepLines w:val="0"/>
                    <w:widowControl/>
                    <w:suppressLineNumbers w:val="0"/>
                    <w:pBdr>
                      <w:top w:val="none" w:color="auto" w:sz="0" w:space="0"/>
                      <w:left w:val="none" w:color="auto" w:sz="0" w:space="0"/>
                      <w:bottom w:val="single" w:color="00000A" w:sz="6" w:space="0"/>
                      <w:right w:val="none" w:color="auto" w:sz="0" w:space="0"/>
                    </w:pBdr>
                    <w:spacing w:after="0" w:afterAutospacing="0" w:line="315" w:lineRule="atLeast"/>
                    <w:jc w:val="left"/>
                  </w:pPr>
                </w:p>
                <w:p>
                  <w:pPr>
                    <w:pStyle w:val="2"/>
                    <w:keepNext w:val="0"/>
                    <w:keepLines w:val="0"/>
                    <w:widowControl/>
                    <w:suppressLineNumbers w:val="0"/>
                    <w:spacing w:after="0" w:afterAutospacing="0" w:line="315" w:lineRule="atLeast"/>
                    <w:jc w:val="center"/>
                  </w:pPr>
                  <w:r>
                    <w:rPr>
                      <w:rFonts w:ascii="仿宋" w:hAnsi="仿宋" w:eastAsia="仿宋" w:cs="仿宋"/>
                      <w:color w:val="000000"/>
                      <w:sz w:val="30"/>
                      <w:szCs w:val="30"/>
                    </w:rPr>
                    <w:t>安徽省教育厅、安徽省物价局、安徽省财政厅《关于进一步完善我省高校收费政策有关问题的通知》</w:t>
                  </w:r>
                </w:p>
                <w:p>
                  <w:pPr>
                    <w:pStyle w:val="2"/>
                    <w:keepNext w:val="0"/>
                    <w:keepLines w:val="0"/>
                    <w:widowControl/>
                    <w:suppressLineNumbers w:val="0"/>
                    <w:pBdr>
                      <w:top w:val="single" w:color="00000A" w:sz="6" w:space="0"/>
                      <w:left w:val="none" w:color="auto" w:sz="0" w:space="0"/>
                      <w:bottom w:val="none" w:color="auto" w:sz="0" w:space="0"/>
                      <w:right w:val="none" w:color="auto" w:sz="0" w:space="0"/>
                    </w:pBdr>
                    <w:spacing w:after="0" w:afterAutospacing="0" w:line="315" w:lineRule="atLeast"/>
                    <w:jc w:val="center"/>
                  </w:pPr>
                  <w:r>
                    <w:rPr>
                      <w:rFonts w:hint="eastAsia" w:ascii="仿宋" w:hAnsi="仿宋" w:eastAsia="仿宋" w:cs="仿宋"/>
                      <w:color w:val="000000"/>
                      <w:sz w:val="30"/>
                      <w:szCs w:val="30"/>
                      <w:bdr w:val="none" w:color="auto" w:sz="0" w:space="0"/>
                    </w:rPr>
                    <w:t>教计〔2006〕15号</w:t>
                  </w:r>
                </w:p>
                <w:p>
                  <w:pPr>
                    <w:pStyle w:val="2"/>
                    <w:keepNext w:val="0"/>
                    <w:keepLines w:val="0"/>
                    <w:widowControl/>
                    <w:suppressLineNumbers w:val="0"/>
                    <w:spacing w:after="0" w:afterAutospacing="0" w:line="315" w:lineRule="atLeast"/>
                    <w:jc w:val="left"/>
                  </w:pPr>
                </w:p>
                <w:p>
                  <w:pPr>
                    <w:pStyle w:val="2"/>
                    <w:keepNext w:val="0"/>
                    <w:keepLines w:val="0"/>
                    <w:widowControl/>
                    <w:suppressLineNumbers w:val="0"/>
                    <w:spacing w:after="0" w:afterAutospacing="0" w:line="315" w:lineRule="atLeast"/>
                    <w:ind w:left="144" w:hanging="144"/>
                    <w:jc w:val="left"/>
                  </w:pPr>
                  <w:r>
                    <w:rPr>
                      <w:rFonts w:hint="eastAsia" w:ascii="仿宋" w:hAnsi="仿宋" w:eastAsia="仿宋" w:cs="仿宋"/>
                      <w:color w:val="000000"/>
                      <w:sz w:val="30"/>
                      <w:szCs w:val="30"/>
                    </w:rPr>
                    <w:t>各市教育局、物价局、财政局，各高等学校：</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 xml:space="preserve">为进一步加强我省高校收费管理，规范高校收费行为，坚决治理乱收费，维护高校和学生的正当权益，保障学校、学生正常的教学及学习生活，促进高等教育事业持续健康发展，根据《教育部、国家发展改革委、财政部关于进一步规范高校教育收费管理若干问题的通知》（教财〔2006〕2号）精神，并经省政府同意，现就进一步完善我省高校收费政策有关问题通知如下： </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一、关于高校学费、住宿费和考试费标准问题</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明确有关学费、住宿费和考试费收费标准（详见附件）。</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高校本科专业目录中的哲学类、经济学类、公安学类、教育学类、文学类（不含艺术）、历史学类和管理学类专业的收费按文科收费标准执行；理学类、工学类、农学类和医学类专业按理科收费标准执行；文学类（艺术）按艺术专业收费标准执行。普通高职高专专业目录中的专业收费，对照高校本科专业目录相应的专业执行相应的收费标准。</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普通高校（包括二级学院）部分培养成本比较高的本科专业学费标准上浮政策仍按现行规定执行。高职高专专业不执行专业上浮政策。</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初中起点五年制高职专业学生收费，前三年由学生就读学校按省物价局、财政厅、教育厅《关于调整我省大中专院校收费标准的通知》（皖价行费〔2000〕259号）规定的中等专业学校（含中师）学费标准收取，后两年转入高等职业教育阶段，由学生就读学校按高职收费标准收取。中等专业学校学费按学期收取，不得按年收费。</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在不提高现行住宿费标准的前提下，由省物价局、财政厅、教育厅制定《安徽省高校学生公寓等级认定及收费管理办法》，对高校住宿费实行分等级定价管理。</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二、关于高校服务性收费和代收费项目问题</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一）服务性收费包括上网上机服务费、电子阅览室服务费、娱乐健身服务费、取暖费和公共洗浴、开水、假期留宿学生住宿等服务项目收费。学校必须坚持学生自愿和非营利原则，制定服务性收费标准，即时发生即时收取，不得与学费合并统一收取，严禁高校强制服务，或只收费不服务；高校向校外人员和单位提供服务的，也可收取相应的服务性费用。</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高校以学校或院（系、所、中心等）名义，按照自愿原则面向在校学生和社会人员提供各类培训服务，向其收取培训费，培训费具体标准由高校按照成本补偿和非营利原则制定，报省教育厅、物价局、财政厅备案后执行。</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二）代收费的主要项目包括教材费、体检费、军训服装费、医（工）科实习服装费、医科学生听诊器费、各类证卡工本费（基于校园网络服务的校园卡工本费、银行卡工本费、学生证工本费、借书证工本费、就餐卡费、体育卡费、居民身份证工本费）和户口迁移费等，此类收费坚持自愿前提，高校不得强行统一收取，也不得在缴纳学费时合并收取，并应及时据实结算、多退少补，不得在代办收费中加收任何费用。</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高校学生公寓内床上用品和日用品由学生自主购买，高校不得为学生统一配备。学校在首次为学生办理学生证、借书证、毕业证、就餐卡等学生在校学习生活中必须使用或应当取得的证卡时，不得收取证卡工本费。</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中等专业学校为学生提供相关服务的服务性收费和代收费，比照高校收费政策执行。</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三、关于高校收费资金管理问题</w:t>
                  </w:r>
                </w:p>
                <w:p>
                  <w:pPr>
                    <w:pStyle w:val="2"/>
                    <w:keepNext w:val="0"/>
                    <w:keepLines w:val="0"/>
                    <w:widowControl/>
                    <w:suppressLineNumbers w:val="0"/>
                    <w:spacing w:after="0" w:afterAutospacing="0" w:line="315" w:lineRule="atLeast"/>
                    <w:ind w:left="101" w:firstLine="446"/>
                    <w:jc w:val="left"/>
                    <w:rPr>
                      <w:rFonts w:hint="eastAsia" w:ascii="仿宋" w:hAnsi="仿宋" w:eastAsia="仿宋" w:cs="仿宋"/>
                      <w:color w:val="000000"/>
                      <w:sz w:val="30"/>
                      <w:szCs w:val="30"/>
                      <w:lang w:eastAsia="zh-CN"/>
                    </w:rPr>
                  </w:pPr>
                  <w:r>
                    <w:rPr>
                      <w:rFonts w:hint="eastAsia" w:ascii="仿宋" w:hAnsi="仿宋" w:eastAsia="仿宋" w:cs="仿宋"/>
                      <w:color w:val="000000"/>
                      <w:sz w:val="30"/>
                      <w:szCs w:val="30"/>
                    </w:rPr>
                    <w:t>各高校要按照教育部、国家发展改革委、财政部教财〔2006〕2号文件的规定，加强本校的收费资金管理，要按照核定的收费项目和收费标准确定收入数，全额纳入学校年度预算，各项收入必须由学校财务部门统一收取、统一管理、统一核算，不得“坐支”，严禁账外设账，严禁私设“小金库”和公款私存，转移资金，逃避监督。行政事业性收费要严格按照“收支两条线”管理，收入按照学校财务隶属关系及时上缴财政专户或金库。支出要按照批准的预算安排使用。各市人民政府及有关部门不得将高校的收费收入用于平衡预算，也不得以任何形式挤占、截留、挪用高校收费资金，确保高校收费资金统筹用于办学支出。</w:t>
                  </w:r>
                </w:p>
                <w:p>
                  <w:pPr>
                    <w:pStyle w:val="2"/>
                    <w:keepNext w:val="0"/>
                    <w:keepLines w:val="0"/>
                    <w:widowControl/>
                    <w:suppressLineNumbers w:val="0"/>
                    <w:spacing w:after="0" w:afterAutospacing="0" w:line="315" w:lineRule="atLeast"/>
                    <w:ind w:left="101" w:firstLine="446"/>
                    <w:jc w:val="left"/>
                  </w:pPr>
                  <w:r>
                    <w:rPr>
                      <w:rFonts w:hint="eastAsia" w:ascii="仿宋" w:hAnsi="仿宋" w:eastAsia="仿宋" w:cs="仿宋"/>
                      <w:color w:val="000000"/>
                      <w:sz w:val="30"/>
                      <w:szCs w:val="30"/>
                    </w:rPr>
                    <w:t>四、未涉及的其他收费政策仍按现行有关规定执行。今后涉及省属个别高校的具体专业学费、住宿费标准及服务性收费、代收费项目的调整，由高校向省教育厅提出申请，省教育厅审核提出意见；中国科技大学和合肥工业大学收费标准的调整，由学校提出意见，经学校主管部门同意后报省教育厅审核，省政府授权省物价局、省财政厅批准后执行。</w:t>
                  </w:r>
                </w:p>
                <w:tbl>
                  <w:tblPr>
                    <w:tblW w:w="5000" w:type="pct"/>
                    <w:tblCellSpacing w:w="0"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25"/>
                    <w:gridCol w:w="3370"/>
                    <w:gridCol w:w="4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1" w:hRule="atLeast"/>
                      <w:tblCellSpacing w:w="0" w:type="dxa"/>
                    </w:trPr>
                    <w:tc>
                      <w:tcPr>
                        <w:tcW w:w="0" w:type="auto"/>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ind w:left="0" w:firstLine="1051"/>
                          <w:jc w:val="left"/>
                        </w:pPr>
                        <w:r>
                          <w:rPr>
                            <w:rFonts w:hint="eastAsia" w:ascii="仿宋" w:hAnsi="仿宋" w:eastAsia="仿宋" w:cs="仿宋"/>
                            <w:color w:val="000000"/>
                            <w:sz w:val="30"/>
                            <w:szCs w:val="30"/>
                            <w:bdr w:val="none" w:color="auto" w:sz="0" w:space="0"/>
                          </w:rPr>
                          <w:t>安徽省高校有关教育收费项目和标准表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收费项目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ind w:left="0" w:firstLine="446"/>
                          <w:jc w:val="left"/>
                        </w:pPr>
                        <w:r>
                          <w:rPr>
                            <w:rFonts w:hint="eastAsia" w:ascii="仿宋" w:hAnsi="仿宋" w:eastAsia="仿宋" w:cs="仿宋"/>
                            <w:color w:val="000000"/>
                            <w:sz w:val="30"/>
                            <w:szCs w:val="30"/>
                            <w:bdr w:val="none" w:color="auto" w:sz="0" w:space="0"/>
                          </w:rPr>
                          <w:t>收费标准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一、学费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预科生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执行同层次标准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专升本学生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执行本科生标准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第二学士学位学费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执行本科生标准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双专业学生学费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执行同类专业收费标准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双学位学生学费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执行同类专业收费标准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辅修专业学位学生学费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执行同类专业收费标准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二级学院艺术类专业学费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13000元/生.学年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高职空中乘务专业学费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7000元/生.学年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专业学位研究生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8000元/生.学年；MBA：A类12000元/生.学年，B类：11000元/生.学年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在职攻读硕士学位研究生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6000元/生.年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在职攻读博士学位研究生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8000元/生.年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申请硕士学位的同等学力人员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6000元/生.次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申请博士学位的同等学力人员</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6000元/生.次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示范性软件学院工程硕士研究生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8000元/生.年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委托培养、自筹经费硕士研究生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5000元/生.年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委托培养、自筹经费博士研究生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8000元/生.年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研究生课程进修班学生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按专业从3500-5000元/生.学年由学校自定</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自费来华留学生：文科（本科）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14000-26000元/生.学年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理科和工科类专业比照文科相应类别学费标准上浮10%～30%，医学、艺术、体育类专业比照文科相应类别学费标准上浮50%～100%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自费来华留学生：文科（硕士）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18000-30000元/生.学年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理科和工科类专业比照文科相应类别学费标准上浮10%～30%，医学、艺术、体育类专业比照文科相应类别学费标准上浮50%～100%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自费来华留学生：文科（博士）</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22000-34000元/生.学年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理科和工科类专业比照文科相应类别学费标准上浮10%～30%，医学、艺术、体育类专业比照文科相应类别学费标准上浮50%～100%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应用型自考大专班学生学费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2000元/生.学年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高等教育自学考试实践环节考核</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150元／科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高等教育自学考试本科毕业设计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文科：200元／生；理科：400元／生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高等教育自学考试二学历助学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1400元/生.年</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成人教育同等学历(含高等教育自学考试)申请学士学位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学位英语：50元／生；专业课考试费：50元／生；学位申请评审费：200元／生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二、住宿费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color w:val="000000"/>
                            <w:bdr w:val="none" w:color="auto" w:sz="0" w:space="0"/>
                          </w:rPr>
                          <w:t>       </w:t>
                        </w:r>
                        <w:r>
                          <w:rPr>
                            <w:rFonts w:hint="eastAsia" w:ascii="仿宋" w:hAnsi="仿宋" w:eastAsia="仿宋" w:cs="仿宋"/>
                            <w:color w:val="000000"/>
                            <w:sz w:val="30"/>
                            <w:szCs w:val="30"/>
                            <w:bdr w:val="none" w:color="auto" w:sz="0" w:space="0"/>
                          </w:rPr>
                          <w:t>住宿费（不超过2人间，含2人）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1200元/生.学年</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rPr>
                            <w:rFonts w:hint="eastAsia" w:ascii="仿宋" w:hAnsi="仿宋" w:eastAsia="仿宋" w:cs="仿宋"/>
                            <w:color w:val="000000"/>
                            <w:sz w:val="30"/>
                            <w:szCs w:val="30"/>
                            <w:bdr w:val="none" w:color="auto" w:sz="0" w:space="0"/>
                            <w:lang w:eastAsia="zh-CN"/>
                          </w:rPr>
                        </w:pPr>
                        <w:r>
                          <w:rPr>
                            <w:rFonts w:hint="eastAsia" w:ascii="仿宋" w:hAnsi="仿宋" w:eastAsia="仿宋" w:cs="仿宋"/>
                            <w:color w:val="000000"/>
                            <w:sz w:val="30"/>
                            <w:szCs w:val="30"/>
                            <w:bdr w:val="none" w:color="auto" w:sz="0" w:space="0"/>
                          </w:rPr>
                          <w:t>1、适应建设节约型校园的需要，学校可按寝室安装水表、电表，科学计量，按每生每月3吨水、4度电核定水电限额，超过限额部分由学校按供水和供电部门规定的价格，另行代收取</w:t>
                        </w:r>
                        <w:bookmarkStart w:id="0" w:name="_GoBack"/>
                        <w:bookmarkEnd w:id="0"/>
                      </w:p>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2、国家没有安排财政拨款的研究生住宿费比照普通高校本专科生收费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住宿费（不超过4人间，含4人）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1000元/生.学年</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color w:val="26262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住宿费（6人间以下，含6人）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800元/生.学年</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color w:val="26262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住宿费（6人间以上）</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600元/生.学年</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color w:val="26262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住宿费（普通宿舍）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400元/生.学年</w:t>
                        </w: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宋体"/>
                            <w:color w:val="262626"/>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三、考试费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硕士研究生入学考试费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rPr>
                            <w:rFonts w:hint="eastAsia" w:ascii="仿宋" w:hAnsi="仿宋" w:eastAsia="仿宋" w:cs="仿宋"/>
                            <w:color w:val="000000"/>
                            <w:sz w:val="30"/>
                            <w:szCs w:val="30"/>
                            <w:bdr w:val="none" w:color="auto" w:sz="0" w:space="0"/>
                            <w:lang w:eastAsia="zh-CN"/>
                          </w:rPr>
                        </w:pPr>
                        <w:r>
                          <w:rPr>
                            <w:rFonts w:hint="eastAsia" w:ascii="仿宋" w:hAnsi="仿宋" w:eastAsia="仿宋" w:cs="仿宋"/>
                            <w:color w:val="000000"/>
                            <w:sz w:val="30"/>
                            <w:szCs w:val="30"/>
                            <w:bdr w:val="none" w:color="auto" w:sz="0" w:space="0"/>
                          </w:rPr>
                          <w:t>报名费：20元/生</w:t>
                        </w:r>
                      </w:p>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加试费：20元/生.科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博士研究生入学考试费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250元/人</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专业硕士研究生入学考试费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rPr>
                            <w:rFonts w:hint="eastAsia" w:ascii="仿宋" w:hAnsi="仿宋" w:eastAsia="仿宋" w:cs="仿宋"/>
                            <w:color w:val="000000"/>
                            <w:sz w:val="30"/>
                            <w:szCs w:val="30"/>
                            <w:bdr w:val="none" w:color="auto" w:sz="0" w:space="0"/>
                            <w:lang w:eastAsia="zh-CN"/>
                          </w:rPr>
                        </w:pPr>
                        <w:r>
                          <w:rPr>
                            <w:rFonts w:hint="eastAsia" w:ascii="仿宋" w:hAnsi="仿宋" w:eastAsia="仿宋" w:cs="仿宋"/>
                            <w:color w:val="000000"/>
                            <w:sz w:val="30"/>
                            <w:szCs w:val="30"/>
                            <w:bdr w:val="none" w:color="auto" w:sz="0" w:space="0"/>
                          </w:rPr>
                          <w:t>报名费：20元/生</w:t>
                        </w:r>
                      </w:p>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加试费：20元/生.科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专业博士研究生入学考试费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rPr>
                            <w:rFonts w:hint="eastAsia" w:ascii="仿宋" w:hAnsi="仿宋" w:eastAsia="仿宋" w:cs="仿宋"/>
                            <w:color w:val="000000"/>
                            <w:sz w:val="30"/>
                            <w:szCs w:val="30"/>
                            <w:bdr w:val="none" w:color="auto" w:sz="0" w:space="0"/>
                            <w:lang w:eastAsia="zh-CN"/>
                          </w:rPr>
                        </w:pPr>
                        <w:r>
                          <w:rPr>
                            <w:rFonts w:hint="eastAsia" w:ascii="仿宋" w:hAnsi="仿宋" w:eastAsia="仿宋" w:cs="仿宋"/>
                            <w:color w:val="000000"/>
                            <w:sz w:val="30"/>
                            <w:szCs w:val="30"/>
                            <w:bdr w:val="none" w:color="auto" w:sz="0" w:space="0"/>
                          </w:rPr>
                          <w:t>报名费：20元/生</w:t>
                        </w:r>
                      </w:p>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加试费：20元/生.科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在职人员攻读硕士学位入学考试费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rPr>
                            <w:rFonts w:hint="eastAsia" w:ascii="仿宋" w:hAnsi="仿宋" w:eastAsia="仿宋" w:cs="仿宋"/>
                            <w:color w:val="000000"/>
                            <w:sz w:val="30"/>
                            <w:szCs w:val="30"/>
                            <w:bdr w:val="none" w:color="auto" w:sz="0" w:space="0"/>
                            <w:lang w:eastAsia="zh-CN"/>
                          </w:rPr>
                        </w:pPr>
                        <w:r>
                          <w:rPr>
                            <w:rFonts w:hint="eastAsia" w:ascii="仿宋" w:hAnsi="仿宋" w:eastAsia="仿宋" w:cs="仿宋"/>
                            <w:color w:val="000000"/>
                            <w:sz w:val="30"/>
                            <w:szCs w:val="30"/>
                            <w:bdr w:val="none" w:color="auto" w:sz="0" w:space="0"/>
                          </w:rPr>
                          <w:t>报名费：20元/生</w:t>
                        </w:r>
                      </w:p>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加试费：20元/生.科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在职人员攻读博士学位入学考试费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rPr>
                            <w:rFonts w:hint="eastAsia" w:ascii="仿宋" w:hAnsi="仿宋" w:eastAsia="仿宋" w:cs="仿宋"/>
                            <w:color w:val="000000"/>
                            <w:sz w:val="30"/>
                            <w:szCs w:val="30"/>
                            <w:bdr w:val="none" w:color="auto" w:sz="0" w:space="0"/>
                            <w:lang w:eastAsia="zh-CN"/>
                          </w:rPr>
                        </w:pPr>
                        <w:r>
                          <w:rPr>
                            <w:rFonts w:hint="eastAsia" w:ascii="仿宋" w:hAnsi="仿宋" w:eastAsia="仿宋" w:cs="仿宋"/>
                            <w:color w:val="000000"/>
                            <w:sz w:val="30"/>
                            <w:szCs w:val="30"/>
                            <w:bdr w:val="none" w:color="auto" w:sz="0" w:space="0"/>
                          </w:rPr>
                          <w:t>报名费：20元/生</w:t>
                        </w:r>
                      </w:p>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加试费：20元/生.科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同等学力人员申请硕士学位学科综合考试费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100元/生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同等学力人员申请硕士学位外语水平考试费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100元/生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同等学力人员申请博士学位水平考试费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rPr>
                            <w:rFonts w:hint="eastAsia" w:ascii="仿宋" w:hAnsi="仿宋" w:eastAsia="仿宋" w:cs="仿宋"/>
                            <w:color w:val="000000"/>
                            <w:sz w:val="30"/>
                            <w:szCs w:val="30"/>
                            <w:bdr w:val="none" w:color="auto" w:sz="0" w:space="0"/>
                            <w:lang w:eastAsia="zh-CN"/>
                          </w:rPr>
                        </w:pPr>
                        <w:r>
                          <w:rPr>
                            <w:rFonts w:hint="eastAsia" w:ascii="仿宋" w:hAnsi="仿宋" w:eastAsia="仿宋" w:cs="仿宋"/>
                            <w:color w:val="000000"/>
                            <w:sz w:val="30"/>
                            <w:szCs w:val="30"/>
                            <w:bdr w:val="none" w:color="auto" w:sz="0" w:space="0"/>
                          </w:rPr>
                          <w:t>报名费：20元/生</w:t>
                        </w:r>
                      </w:p>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加试费：20元/生.科</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网络教育学生入学考试费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100元/生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专升本考试费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110元/生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blCellSpacing w:w="0" w:type="dxa"/>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保送生测试费</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jc w:val="left"/>
                        </w:pPr>
                        <w:r>
                          <w:rPr>
                            <w:rFonts w:hint="eastAsia" w:ascii="仿宋" w:hAnsi="仿宋" w:eastAsia="仿宋" w:cs="仿宋"/>
                            <w:color w:val="000000"/>
                            <w:sz w:val="30"/>
                            <w:szCs w:val="30"/>
                            <w:bdr w:val="none" w:color="auto" w:sz="0" w:space="0"/>
                          </w:rPr>
                          <w:t>40元/生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shd w:val="clear" w:fill="FFFFFF"/>
                          <w:jc w:val="center"/>
                          <w:rPr>
                            <w:color w:val="262626"/>
                          </w:rPr>
                        </w:pPr>
                      </w:p>
                    </w:tc>
                  </w:tr>
                </w:tbl>
                <w:p>
                  <w:pPr>
                    <w:jc w:val="center"/>
                    <w:rPr>
                      <w:color w:val="262626"/>
                      <w:sz w:val="21"/>
                      <w:szCs w:val="21"/>
                    </w:rPr>
                  </w:pPr>
                </w:p>
              </w:tc>
            </w:tr>
          </w:tbl>
          <w:p>
            <w:pPr>
              <w:jc w:val="center"/>
              <w:rPr>
                <w:color w:val="262626"/>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YzExYzUwOWQ3MTNiNDkyNTk4YWE0NWMwMWNhOTIifQ=="/>
  </w:docVars>
  <w:rsids>
    <w:rsidRoot w:val="01141EC1"/>
    <w:rsid w:val="01141EC1"/>
    <w:rsid w:val="29680F11"/>
    <w:rsid w:val="350E4111"/>
    <w:rsid w:val="58590390"/>
    <w:rsid w:val="58844EF8"/>
    <w:rsid w:val="77F3065D"/>
    <w:rsid w:val="78937148"/>
    <w:rsid w:val="789F6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262626"/>
      <w:sz w:val="18"/>
      <w:szCs w:val="18"/>
      <w:u w:val="none"/>
    </w:rPr>
  </w:style>
  <w:style w:type="character" w:styleId="6">
    <w:name w:val="Hyperlink"/>
    <w:basedOn w:val="4"/>
    <w:uiPriority w:val="0"/>
    <w:rPr>
      <w:color w:val="262626"/>
      <w:sz w:val="18"/>
      <w:szCs w:val="18"/>
      <w:u w:val="none"/>
    </w:rPr>
  </w:style>
  <w:style w:type="character" w:customStyle="1" w:styleId="7">
    <w:name w:val="item-name"/>
    <w:basedOn w:val="4"/>
    <w:uiPriority w:val="0"/>
    <w:rPr>
      <w:bdr w:val="none" w:color="auto" w:sz="0" w:space="0"/>
    </w:rPr>
  </w:style>
  <w:style w:type="character" w:customStyle="1" w:styleId="8">
    <w:name w:val="item-name1"/>
    <w:basedOn w:val="4"/>
    <w:uiPriority w:val="0"/>
    <w:rPr>
      <w:bdr w:val="none" w:color="auto" w:sz="0" w:space="0"/>
    </w:rPr>
  </w:style>
  <w:style w:type="character" w:customStyle="1" w:styleId="9">
    <w:name w:val="style21"/>
    <w:basedOn w:val="4"/>
    <w:uiPriority w:val="0"/>
    <w:rPr>
      <w:color w:val="666666"/>
    </w:rPr>
  </w:style>
  <w:style w:type="character" w:customStyle="1" w:styleId="10">
    <w:name w:val="wp_visitcount1"/>
    <w:basedOn w:val="4"/>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2024-09-06T06:49:00Z</dcterms:created>
  <dc:creator>夏保军</dc:creator>
  <cp:lastModifiedBy>夏保军</cp:lastModifiedBy>
  <dcterms:modified xsi:type="dcterms:W3CDTF">2024-09-06T06:54:17Z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B6E77CCA70D64EB98FF1EEF4156658D8_11</vt:lpwstr>
  </property>
</Properties>
</file>