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w:hAnsi="Arial" w:cs="Arial"/>
          <w:color w:val="4B4B4B"/>
          <w:szCs w:val="21"/>
          <w:shd w:val="clear" w:color="080000" w:fill="FFFFFF"/>
        </w:rPr>
      </w:pPr>
      <w:bookmarkStart w:id="0" w:name="_GoBack"/>
      <w:bookmarkEnd w:id="0"/>
    </w:p>
    <w:p>
      <w:pPr>
        <w:jc w:val="center"/>
        <w:rPr>
          <w:rFonts w:ascii="Arial" w:hAnsi="Arial" w:cs="Arial"/>
          <w:color w:val="4B4B4B"/>
          <w:sz w:val="32"/>
          <w:szCs w:val="32"/>
          <w:shd w:val="clear" w:color="080000" w:fill="FFFFFF"/>
        </w:rPr>
      </w:pPr>
      <w:r>
        <w:rPr>
          <w:rFonts w:hint="eastAsia" w:ascii="Arial" w:hAnsi="Arial" w:cs="Arial"/>
          <w:color w:val="4B4B4B"/>
          <w:sz w:val="32"/>
          <w:szCs w:val="32"/>
          <w:shd w:val="clear" w:color="080000" w:fill="FFFFFF"/>
        </w:rPr>
        <w:t>公司简介</w:t>
      </w:r>
    </w:p>
    <w:p>
      <w:pPr>
        <w:ind w:firstLine="600" w:firstLineChars="200"/>
        <w:rPr>
          <w:rFonts w:ascii="宋体" w:hAnsi="宋体"/>
          <w:sz w:val="30"/>
          <w:szCs w:val="30"/>
        </w:rPr>
      </w:pPr>
      <w:r>
        <w:rPr>
          <w:rFonts w:hint="eastAsia" w:ascii="宋体" w:hAnsi="宋体"/>
          <w:sz w:val="30"/>
          <w:szCs w:val="30"/>
        </w:rPr>
        <w:t>江苏嘉天利柳工机械有限公司是一家专业从事工程机械设备销售、服务，以及土石方、道路、起重、物流和市政养护的专业公司，有二十余年的行业经验，是江苏省及上海直辖市的柳工挖掘机、推土机唯一授权经销商。</w:t>
      </w:r>
    </w:p>
    <w:p>
      <w:pPr>
        <w:ind w:firstLine="600" w:firstLineChars="200"/>
        <w:rPr>
          <w:rFonts w:ascii="宋体" w:hAnsi="宋体"/>
          <w:sz w:val="30"/>
          <w:szCs w:val="30"/>
        </w:rPr>
      </w:pPr>
      <w:r>
        <w:rPr>
          <w:rFonts w:hint="eastAsia" w:ascii="宋体" w:hAnsi="宋体"/>
          <w:sz w:val="30"/>
          <w:szCs w:val="30"/>
        </w:rPr>
        <w:t>嘉天利公司现有员工78人，90%人员具有大专以上学历，有固定资产6000万元。拥有自主产权的11000㎡土地作为总部基地，以及配套的8000㎡办公大楼、配件仓储中心、设备大修培训厂房等设备设施。在江苏省及上海市布局有完善的销售、服务网络，公司总部座落于江苏常州武进高新区，紧邻柳工常州基地，共享柳工华东培训基地及配件仓储中心。为客户提供专业的整机销售、售后服务、配件、设备大修、二手机评估及回购、各类属具配套、设备使用维护技术培训等服务。</w:t>
      </w:r>
    </w:p>
    <w:p>
      <w:pPr>
        <w:spacing w:line="360" w:lineRule="auto"/>
        <w:ind w:firstLine="600" w:firstLineChars="200"/>
        <w:rPr>
          <w:rFonts w:hint="eastAsia" w:ascii="宋体" w:hAnsi="宋体"/>
          <w:sz w:val="30"/>
          <w:szCs w:val="30"/>
        </w:rPr>
      </w:pPr>
      <w:r>
        <w:rPr>
          <w:rFonts w:hint="eastAsia" w:ascii="宋体" w:hAnsi="宋体"/>
          <w:sz w:val="30"/>
          <w:szCs w:val="30"/>
        </w:rPr>
        <w:t>江苏嘉天利公司视市场信誉为企业生命，公司坚持“诚实做人、诚信合作”的经营理念，坚持品牌发展的思路，立足江苏、上海及周边市场，努力为客户创造最大的价值，为客户提供工程机械的全面解决方案，致力于工程机械业务的长期、稳定、健康发展。</w:t>
      </w:r>
    </w:p>
    <w:p>
      <w:pPr>
        <w:spacing w:line="360" w:lineRule="auto"/>
        <w:ind w:firstLine="600" w:firstLineChars="200"/>
        <w:rPr>
          <w:rFonts w:hint="eastAsia" w:ascii="宋体" w:hAnsi="宋体"/>
          <w:sz w:val="30"/>
          <w:szCs w:val="30"/>
        </w:rPr>
      </w:pPr>
    </w:p>
    <w:p>
      <w:pPr>
        <w:spacing w:line="360" w:lineRule="auto"/>
        <w:ind w:firstLine="600" w:firstLineChars="200"/>
        <w:jc w:val="right"/>
        <w:rPr>
          <w:rFonts w:hint="eastAsia" w:ascii="宋体" w:hAnsi="宋体"/>
          <w:sz w:val="30"/>
          <w:szCs w:val="30"/>
          <w:lang w:val="en-US" w:eastAsia="zh-CN"/>
        </w:rPr>
      </w:pPr>
      <w:r>
        <w:rPr>
          <w:rFonts w:hint="eastAsia" w:ascii="宋体" w:hAnsi="宋体"/>
          <w:sz w:val="30"/>
          <w:szCs w:val="30"/>
          <w:lang w:val="en-US" w:eastAsia="zh-CN"/>
        </w:rPr>
        <w:t>江苏嘉天利柳工机械有限公司</w:t>
      </w:r>
    </w:p>
    <w:p>
      <w:pPr>
        <w:spacing w:line="360" w:lineRule="auto"/>
        <w:ind w:firstLine="600" w:firstLineChars="200"/>
        <w:jc w:val="right"/>
        <w:rPr>
          <w:rFonts w:hint="eastAsia" w:ascii="宋体" w:hAnsi="宋体"/>
          <w:sz w:val="30"/>
          <w:szCs w:val="30"/>
          <w:lang w:val="en-US" w:eastAsia="zh-CN"/>
        </w:rPr>
      </w:pPr>
      <w:r>
        <w:rPr>
          <w:rFonts w:hint="eastAsia" w:ascii="宋体" w:hAnsi="宋体"/>
          <w:sz w:val="30"/>
          <w:szCs w:val="30"/>
          <w:lang w:val="en-US" w:eastAsia="zh-CN"/>
        </w:rPr>
        <w:t>2016年10月20日</w:t>
      </w:r>
    </w:p>
    <w:p>
      <w:pPr>
        <w:spacing w:line="360" w:lineRule="auto"/>
        <w:ind w:firstLine="600" w:firstLineChars="200"/>
        <w:rPr>
          <w:rFonts w:hint="eastAsia" w:ascii="宋体" w:hAnsi="宋体"/>
          <w:sz w:val="30"/>
          <w:szCs w:val="30"/>
        </w:rPr>
      </w:pPr>
    </w:p>
    <w:p>
      <w:pPr>
        <w:spacing w:line="360" w:lineRule="auto"/>
        <w:ind w:firstLine="600" w:firstLineChars="200"/>
        <w:rPr>
          <w:rFonts w:hint="eastAsia" w:ascii="宋体" w:hAnsi="宋体"/>
          <w:sz w:val="30"/>
          <w:szCs w:val="30"/>
          <w:lang w:val="en-US" w:eastAsia="zh-CN"/>
        </w:rPr>
      </w:pPr>
      <w:r>
        <w:rPr>
          <w:rFonts w:hint="eastAsia" w:ascii="宋体" w:hAnsi="宋体"/>
          <w:sz w:val="30"/>
          <w:szCs w:val="30"/>
          <w:lang w:val="en-US" w:eastAsia="zh-CN"/>
        </w:rPr>
        <w:t>招聘需求计划</w:t>
      </w:r>
    </w:p>
    <w:p>
      <w:pPr>
        <w:spacing w:line="360" w:lineRule="auto"/>
        <w:ind w:firstLine="600" w:firstLineChars="200"/>
        <w:rPr>
          <w:rFonts w:hint="eastAsia" w:ascii="宋体" w:hAnsi="宋体"/>
          <w:sz w:val="30"/>
          <w:szCs w:val="30"/>
          <w:lang w:val="en-US" w:eastAsia="zh-CN"/>
        </w:rPr>
      </w:pPr>
    </w:p>
    <w:tbl>
      <w:tblPr>
        <w:tblStyle w:val="6"/>
        <w:tblW w:w="10395" w:type="dxa"/>
        <w:tblInd w:w="-1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05"/>
        <w:gridCol w:w="2325"/>
        <w:gridCol w:w="367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lang w:val="en-US" w:eastAsia="zh-CN"/>
              </w:rPr>
              <w:t>岗位</w:t>
            </w:r>
          </w:p>
        </w:tc>
        <w:tc>
          <w:tcPr>
            <w:tcW w:w="1605"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数量（名）</w:t>
            </w:r>
          </w:p>
        </w:tc>
        <w:tc>
          <w:tcPr>
            <w:tcW w:w="2325"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专业</w:t>
            </w:r>
          </w:p>
        </w:tc>
        <w:tc>
          <w:tcPr>
            <w:tcW w:w="3675"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待遇</w:t>
            </w:r>
          </w:p>
        </w:tc>
        <w:tc>
          <w:tcPr>
            <w:tcW w:w="1530"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1260"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销售</w:t>
            </w:r>
          </w:p>
        </w:tc>
        <w:tc>
          <w:tcPr>
            <w:tcW w:w="1605"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8</w:t>
            </w:r>
          </w:p>
        </w:tc>
        <w:tc>
          <w:tcPr>
            <w:tcW w:w="2325"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工程机械、营销</w:t>
            </w:r>
          </w:p>
        </w:tc>
        <w:tc>
          <w:tcPr>
            <w:tcW w:w="3675" w:type="dxa"/>
            <w:vMerge w:val="restart"/>
          </w:tcPr>
          <w:p>
            <w:pPr>
              <w:spacing w:line="360" w:lineRule="auto"/>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实习和试用期间基本薪酬为1600元，公司提供吃、住，试用结束后留用的按照公司正式员工待遇，工作地点：江苏省、上海市</w:t>
            </w:r>
          </w:p>
        </w:tc>
        <w:tc>
          <w:tcPr>
            <w:tcW w:w="1530" w:type="dxa"/>
          </w:tcPr>
          <w:p>
            <w:pPr>
              <w:spacing w:line="360" w:lineRule="auto"/>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男女不限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服务</w:t>
            </w:r>
          </w:p>
        </w:tc>
        <w:tc>
          <w:tcPr>
            <w:tcW w:w="1605"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8</w:t>
            </w:r>
          </w:p>
        </w:tc>
        <w:tc>
          <w:tcPr>
            <w:tcW w:w="2325" w:type="dxa"/>
          </w:tcPr>
          <w:p>
            <w:pPr>
              <w:spacing w:line="360" w:lineRule="auto"/>
              <w:jc w:val="center"/>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工程机械、维修</w:t>
            </w:r>
          </w:p>
        </w:tc>
        <w:tc>
          <w:tcPr>
            <w:tcW w:w="3675" w:type="dxa"/>
            <w:vMerge w:val="continue"/>
          </w:tcPr>
          <w:p>
            <w:pPr>
              <w:spacing w:line="360" w:lineRule="auto"/>
              <w:rPr>
                <w:rFonts w:hint="eastAsia" w:ascii="宋体" w:hAnsi="宋体"/>
                <w:sz w:val="30"/>
                <w:szCs w:val="30"/>
                <w:vertAlign w:val="baseline"/>
                <w:lang w:val="en-US" w:eastAsia="zh-CN"/>
              </w:rPr>
            </w:pPr>
          </w:p>
        </w:tc>
        <w:tc>
          <w:tcPr>
            <w:tcW w:w="1530" w:type="dxa"/>
          </w:tcPr>
          <w:p>
            <w:pPr>
              <w:spacing w:line="360" w:lineRule="auto"/>
              <w:rPr>
                <w:rFonts w:hint="eastAsia" w:ascii="宋体" w:hAnsi="宋体"/>
                <w:sz w:val="30"/>
                <w:szCs w:val="30"/>
                <w:vertAlign w:val="baseline"/>
                <w:lang w:val="en-US" w:eastAsia="zh-CN"/>
              </w:rPr>
            </w:pPr>
            <w:r>
              <w:rPr>
                <w:rFonts w:hint="eastAsia" w:ascii="宋体" w:hAnsi="宋体"/>
                <w:sz w:val="30"/>
                <w:szCs w:val="30"/>
                <w:vertAlign w:val="baseline"/>
                <w:lang w:val="en-US" w:eastAsia="zh-CN"/>
              </w:rPr>
              <w:t>男性</w:t>
            </w:r>
          </w:p>
        </w:tc>
      </w:tr>
    </w:tbl>
    <w:p>
      <w:pPr>
        <w:spacing w:line="360" w:lineRule="auto"/>
        <w:ind w:firstLine="600" w:firstLineChars="200"/>
        <w:rPr>
          <w:rFonts w:hint="eastAsia" w:ascii="宋体" w:hAnsi="宋体"/>
          <w:sz w:val="30"/>
          <w:szCs w:val="30"/>
          <w:lang w:val="en-US" w:eastAsia="zh-CN"/>
        </w:rPr>
      </w:pPr>
    </w:p>
    <w:p>
      <w:pPr>
        <w:spacing w:line="360" w:lineRule="auto"/>
        <w:ind w:firstLine="600" w:firstLineChars="200"/>
        <w:rPr>
          <w:rFonts w:hint="eastAsia" w:ascii="宋体" w:hAnsi="宋体"/>
          <w:sz w:val="30"/>
          <w:szCs w:val="30"/>
        </w:rPr>
      </w:pPr>
    </w:p>
    <w:p>
      <w:pPr>
        <w:ind w:firstLine="600" w:firstLineChars="200"/>
        <w:rPr>
          <w:rFonts w:ascii="宋体" w:hAnsi="宋体"/>
          <w:sz w:val="30"/>
          <w:szCs w:val="30"/>
        </w:rPr>
      </w:pPr>
    </w:p>
    <w:p>
      <w:pPr>
        <w:rPr>
          <w:rFonts w:ascii="Arial" w:hAnsi="Arial" w:cs="Arial"/>
          <w:color w:val="4B4B4B"/>
          <w:szCs w:val="21"/>
          <w:shd w:val="clear" w:color="080000"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F292B"/>
    <w:rsid w:val="00171599"/>
    <w:rsid w:val="001974B6"/>
    <w:rsid w:val="003E125D"/>
    <w:rsid w:val="00405BCA"/>
    <w:rsid w:val="006F7206"/>
    <w:rsid w:val="008A0DC9"/>
    <w:rsid w:val="008C0222"/>
    <w:rsid w:val="00C00434"/>
    <w:rsid w:val="00D77F4D"/>
    <w:rsid w:val="00E46CBE"/>
    <w:rsid w:val="07DF292B"/>
    <w:rsid w:val="2BCB51DB"/>
    <w:rsid w:val="2FE32E92"/>
    <w:rsid w:val="3A256EF6"/>
    <w:rsid w:val="47711D0E"/>
    <w:rsid w:val="55263A98"/>
    <w:rsid w:val="5CAF3F9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Char"/>
    <w:basedOn w:val="4"/>
    <w:link w:val="3"/>
    <w:uiPriority w:val="0"/>
    <w:rPr>
      <w:rFonts w:ascii="Calibri" w:hAnsi="Calibri" w:cs="黑体"/>
      <w:kern w:val="2"/>
      <w:sz w:val="18"/>
      <w:szCs w:val="18"/>
    </w:rPr>
  </w:style>
  <w:style w:type="character" w:customStyle="1" w:styleId="8">
    <w:name w:val="页脚 Char"/>
    <w:basedOn w:val="4"/>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374</Characters>
  <Lines>3</Lines>
  <Paragraphs>1</Paragraphs>
  <ScaleCrop>false</ScaleCrop>
  <LinksUpToDate>false</LinksUpToDate>
  <CharactersWithSpaces>438</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2016-08-08T02:58:00Z</dcterms:created>
  <dc:creator>Administrator</dc:creator>
  <cp:lastModifiedBy>Administrator</cp:lastModifiedBy>
  <dcterms:modified xsi:type="dcterms:W3CDTF">2016-11-15T22:47:00Z</dcterms:modified>
  <dc:title>江苏嘉天利柳工机械有限公司是专业从事土石方、道路、起重、物流及市政养护设备销售、服务的专业公司，为了适应工程机械市场业务的发展及江苏省机械设备成套局改革发展的需要，在原江苏省机械设备成套局盐城分局的基础上改制成立，现由江苏嘉天利柳工机械有限公司和广西柳工集团有限公司共同注资成立的有限责任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