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“安徽交通职业技术学院城信系牵引变电实训室项目”</w:t>
      </w:r>
    </w:p>
    <w:p>
      <w:pPr>
        <w:jc w:val="center"/>
        <w:rPr>
          <w:rFonts w:hint="eastAsia" w:ascii="宋体" w:hAnsi="宋体" w:eastAsia="宋体" w:cs="宋体"/>
          <w:b/>
          <w:color w:val="FF0000"/>
          <w:sz w:val="21"/>
          <w:szCs w:val="21"/>
        </w:rPr>
      </w:pPr>
      <w:r>
        <w:rPr>
          <w:rFonts w:hint="eastAsia" w:ascii="宋体" w:hAnsi="宋体" w:eastAsia="宋体" w:cs="宋体"/>
          <w:b/>
          <w:sz w:val="36"/>
          <w:szCs w:val="36"/>
        </w:rPr>
        <w:t>标前需求公示</w:t>
      </w:r>
      <w:bookmarkStart w:id="0" w:name="_GoBack"/>
      <w:bookmarkEnd w:id="0"/>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（以下需求仅供参考，最终以招标文件为准）</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474" w:type="dxa"/>
            <w:noWrap w:val="0"/>
            <w:vAlign w:val="center"/>
          </w:tcPr>
          <w:p>
            <w:pPr>
              <w:spacing w:line="500" w:lineRule="exact"/>
              <w:rPr>
                <w:rFonts w:hint="eastAsia" w:ascii="宋体" w:hAnsi="宋体" w:eastAsia="宋体" w:cs="宋体"/>
                <w:b w:val="0"/>
                <w:bCs w:val="0"/>
                <w:color w:val="auto"/>
                <w:sz w:val="24"/>
                <w:szCs w:val="24"/>
                <w:lang w:eastAsia="zh-CN"/>
              </w:rPr>
            </w:pPr>
            <w:r>
              <w:rPr>
                <w:rFonts w:hint="eastAsia" w:ascii="宋体" w:hAnsi="宋体" w:eastAsia="宋体" w:cs="宋体"/>
                <w:sz w:val="24"/>
                <w:szCs w:val="22"/>
              </w:rPr>
              <w:t>安徽交通职业技术学院城信系牵引变电实训室项目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474" w:type="dxa"/>
            <w:noWrap w:val="0"/>
            <w:vAlign w:val="center"/>
          </w:tcPr>
          <w:p>
            <w:pPr>
              <w:spacing w:line="500" w:lineRule="exact"/>
              <w:rPr>
                <w:rFonts w:hint="eastAsia" w:ascii="宋体" w:hAnsi="宋体" w:eastAsia="宋体" w:cs="宋体"/>
                <w:b w:val="0"/>
                <w:bCs w:val="0"/>
                <w:color w:val="auto"/>
                <w:sz w:val="24"/>
                <w:szCs w:val="24"/>
                <w:lang w:eastAsia="zh-CN"/>
              </w:rPr>
            </w:pPr>
            <w:r>
              <w:rPr>
                <w:rFonts w:hint="eastAsia" w:ascii="宋体" w:hAnsi="宋体" w:eastAsia="宋体" w:cs="宋体"/>
                <w:sz w:val="24"/>
                <w:szCs w:val="22"/>
              </w:rPr>
              <w:t>院招第2021025号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项目预算</w:t>
            </w:r>
          </w:p>
        </w:tc>
        <w:tc>
          <w:tcPr>
            <w:tcW w:w="7474" w:type="dxa"/>
            <w:noWrap w:val="0"/>
            <w:vAlign w:val="center"/>
          </w:tcPr>
          <w:p>
            <w:pPr>
              <w:spacing w:line="500" w:lineRule="exac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7474"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安徽交通职业技术学院城信系牵引变电实训室项目，</w:t>
            </w:r>
            <w:r>
              <w:rPr>
                <w:rFonts w:hint="eastAsia" w:ascii="宋体" w:hAnsi="宋体" w:eastAsia="宋体" w:cs="宋体"/>
                <w:color w:val="auto"/>
                <w:sz w:val="24"/>
                <w:szCs w:val="24"/>
              </w:rPr>
              <w:t>详见</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需求</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资格</w:t>
            </w:r>
          </w:p>
        </w:tc>
        <w:tc>
          <w:tcPr>
            <w:tcW w:w="7474" w:type="dxa"/>
            <w:noWrap w:val="0"/>
            <w:vAlign w:val="center"/>
          </w:tcPr>
          <w:p>
            <w:pPr>
              <w:adjustRightInd w:val="0"/>
              <w:snapToGrid w:val="0"/>
              <w:spacing w:line="336" w:lineRule="auto"/>
              <w:ind w:firstLine="480" w:firstLineChars="200"/>
              <w:rPr>
                <w:rFonts w:ascii="宋体" w:hAnsi="宋体" w:eastAsia="宋体" w:cs="宋体"/>
                <w:sz w:val="24"/>
                <w:szCs w:val="22"/>
              </w:rPr>
            </w:pPr>
            <w:r>
              <w:rPr>
                <w:rFonts w:hint="eastAsia" w:ascii="宋体" w:hAnsi="宋体" w:eastAsia="宋体" w:cs="宋体"/>
                <w:sz w:val="24"/>
                <w:szCs w:val="22"/>
              </w:rPr>
              <w:t>1.满足《中华人民共和国政府采购法》第二十二条规定；</w:t>
            </w:r>
          </w:p>
          <w:p>
            <w:pPr>
              <w:adjustRightInd w:val="0"/>
              <w:snapToGrid w:val="0"/>
              <w:spacing w:line="336" w:lineRule="auto"/>
              <w:ind w:firstLine="480" w:firstLineChars="200"/>
              <w:rPr>
                <w:rFonts w:ascii="宋体" w:hAnsi="宋体" w:eastAsia="宋体" w:cs="宋体"/>
                <w:sz w:val="24"/>
                <w:szCs w:val="22"/>
              </w:rPr>
            </w:pPr>
            <w:r>
              <w:rPr>
                <w:rFonts w:ascii="宋体" w:hAnsi="宋体" w:eastAsia="宋体" w:cs="宋体"/>
                <w:sz w:val="24"/>
                <w:szCs w:val="22"/>
              </w:rPr>
              <w:t>2</w:t>
            </w:r>
            <w:r>
              <w:rPr>
                <w:rFonts w:hint="eastAsia" w:ascii="宋体" w:hAnsi="宋体" w:eastAsia="宋体" w:cs="宋体"/>
                <w:sz w:val="24"/>
                <w:szCs w:val="22"/>
              </w:rPr>
              <w:t>.落实政府采购政策需满足的资格要求：无；</w:t>
            </w:r>
          </w:p>
          <w:p>
            <w:pPr>
              <w:adjustRightInd w:val="0"/>
              <w:snapToGrid w:val="0"/>
              <w:spacing w:line="336" w:lineRule="auto"/>
              <w:ind w:firstLine="480" w:firstLineChars="200"/>
              <w:rPr>
                <w:rFonts w:ascii="宋体" w:hAnsi="宋体" w:eastAsia="宋体" w:cs="宋体"/>
                <w:sz w:val="24"/>
                <w:szCs w:val="22"/>
              </w:rPr>
            </w:pPr>
            <w:r>
              <w:rPr>
                <w:rFonts w:ascii="宋体" w:hAnsi="宋体" w:eastAsia="宋体" w:cs="宋体"/>
                <w:sz w:val="24"/>
                <w:szCs w:val="22"/>
              </w:rPr>
              <w:t>3</w:t>
            </w:r>
            <w:r>
              <w:rPr>
                <w:rFonts w:hint="eastAsia" w:ascii="宋体" w:hAnsi="宋体" w:eastAsia="宋体" w:cs="宋体"/>
                <w:sz w:val="24"/>
                <w:szCs w:val="22"/>
              </w:rPr>
              <w:t>.本项目的特定资格要求：无；</w:t>
            </w:r>
          </w:p>
          <w:p>
            <w:pPr>
              <w:widowControl/>
              <w:adjustRightInd w:val="0"/>
              <w:snapToGrid w:val="0"/>
              <w:spacing w:line="336" w:lineRule="auto"/>
              <w:ind w:firstLine="480"/>
              <w:jc w:val="left"/>
              <w:rPr>
                <w:rFonts w:ascii="宋体" w:hAnsi="宋体" w:eastAsia="宋体" w:cs="Times New Roman"/>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供应商存在以下不良信用记录情形之一的,不得推荐为中标候选供应商,不得确定为中标供应商：</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（1）供应商被人民法院列入失信被执行人的；</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（2）供应商被市场监督管理部门（含工商行政管理部门）列入企业经营异常名录的；</w:t>
            </w:r>
          </w:p>
          <w:p>
            <w:pPr>
              <w:widowControl/>
              <w:adjustRightInd w:val="0"/>
              <w:snapToGrid w:val="0"/>
              <w:spacing w:line="336" w:lineRule="auto"/>
              <w:ind w:firstLine="480"/>
              <w:jc w:val="left"/>
              <w:rPr>
                <w:rFonts w:ascii="宋体" w:hAnsi="宋体" w:eastAsia="宋体" w:cs="Times New Roman"/>
                <w:kern w:val="0"/>
                <w:sz w:val="24"/>
                <w:szCs w:val="24"/>
              </w:rPr>
            </w:pPr>
            <w:r>
              <w:rPr>
                <w:rFonts w:hint="eastAsia" w:ascii="宋体" w:hAnsi="宋体" w:eastAsia="宋体" w:cs="宋体"/>
                <w:color w:val="000000"/>
                <w:kern w:val="0"/>
                <w:sz w:val="24"/>
                <w:szCs w:val="24"/>
              </w:rPr>
              <w:t>（3）供应商被税务部门列入重大税收违法案件当事人名单的；</w:t>
            </w:r>
          </w:p>
          <w:p>
            <w:pPr>
              <w:widowControl/>
              <w:adjustRightInd w:val="0"/>
              <w:snapToGrid w:val="0"/>
              <w:spacing w:line="336" w:lineRule="auto"/>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（4）供应商被政府采购监管部门列入政府采购严重违法失信行为记录名单的。</w:t>
            </w:r>
          </w:p>
          <w:p>
            <w:pPr>
              <w:autoSpaceDE w:val="0"/>
              <w:autoSpaceDN w:val="0"/>
              <w:adjustRightInd w:val="0"/>
              <w:spacing w:line="360" w:lineRule="auto"/>
              <w:ind w:firstLine="436" w:firstLineChars="182"/>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center"/>
              <w:rPr>
                <w:rFonts w:hint="eastAsia" w:ascii="宋体" w:hAnsi="宋体" w:eastAsia="宋体" w:cs="宋体"/>
                <w:color w:val="auto"/>
                <w:sz w:val="24"/>
                <w:szCs w:val="24"/>
              </w:rPr>
            </w:pPr>
            <w:r>
              <w:rPr>
                <w:rFonts w:hint="eastAsia" w:ascii="宋体" w:hAnsi="宋体" w:eastAsia="宋体"/>
                <w:b w:val="0"/>
                <w:color w:val="auto"/>
                <w:sz w:val="24"/>
              </w:rPr>
              <w:t>是否为专门面向中小企业采购</w:t>
            </w:r>
          </w:p>
        </w:tc>
        <w:tc>
          <w:tcPr>
            <w:tcW w:w="7474" w:type="dxa"/>
            <w:noWrap w:val="0"/>
            <w:vAlign w:val="center"/>
          </w:tcPr>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b w:val="0"/>
                <w:color w:val="auto"/>
                <w:sz w:val="24"/>
              </w:rPr>
              <w:t xml:space="preserve">□是  </w:t>
            </w:r>
            <w:r>
              <w:rPr>
                <w:rFonts w:hint="eastAsia" w:ascii="宋体" w:hAnsi="宋体" w:eastAsia="宋体"/>
                <w:b w:val="0"/>
                <w:color w:val="auto"/>
                <w:sz w:val="24"/>
              </w:rPr>
              <w:sym w:font="Wingdings 2" w:char="0052"/>
            </w:r>
            <w:r>
              <w:rPr>
                <w:rFonts w:hint="eastAsia" w:ascii="宋体" w:hAnsi="宋体" w:eastAsia="宋体"/>
                <w:b w:val="0"/>
                <w:color w:val="auto"/>
                <w:sz w:val="24"/>
              </w:rPr>
              <w:t>否</w:t>
            </w:r>
            <w:r>
              <w:rPr>
                <w:rFonts w:hint="eastAsia" w:ascii="宋体" w:hAnsi="宋体" w:eastAsia="宋体"/>
                <w:b w:val="0"/>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是否允许大中型企业向小微企业分包</w:t>
            </w:r>
          </w:p>
          <w:p>
            <w:pPr>
              <w:pStyle w:val="9"/>
              <w:widowControl w:val="0"/>
              <w:spacing w:before="0" w:beforeAutospacing="0" w:after="0" w:afterAutospacing="0" w:line="360" w:lineRule="auto"/>
              <w:jc w:val="both"/>
              <w:rPr>
                <w:rFonts w:hint="eastAsia" w:ascii="宋体" w:hAnsi="宋体" w:eastAsia="宋体"/>
                <w:b w:val="0"/>
                <w:i/>
                <w:color w:val="auto"/>
                <w:sz w:val="24"/>
              </w:rPr>
            </w:pPr>
            <w:r>
              <w:rPr>
                <w:rFonts w:hint="eastAsia" w:ascii="宋体" w:hAnsi="宋体" w:eastAsia="宋体"/>
                <w:b w:val="0"/>
                <w:i/>
                <w:color w:val="auto"/>
                <w:sz w:val="24"/>
              </w:rPr>
              <w:t>（非专门面向中小企业采购项目及要求获得采购合同的供应商将采购项目中的一定比例分包给中小企业的项目适用）</w:t>
            </w:r>
          </w:p>
        </w:tc>
        <w:tc>
          <w:tcPr>
            <w:tcW w:w="7474" w:type="dxa"/>
            <w:noWrap w:val="0"/>
            <w:vAlign w:val="center"/>
          </w:tcPr>
          <w:p>
            <w:pPr>
              <w:pStyle w:val="9"/>
              <w:widowControl w:val="0"/>
              <w:spacing w:before="0" w:beforeAutospacing="0" w:after="0" w:afterAutospacing="0" w:line="360" w:lineRule="auto"/>
              <w:jc w:val="both"/>
              <w:rPr>
                <w:rFonts w:hint="eastAsia" w:ascii="宋体" w:hAnsi="宋体" w:eastAsia="宋体" w:cs="Times New Roman"/>
                <w:b w:val="0"/>
                <w:bCs w:val="0"/>
                <w:color w:val="auto"/>
                <w:kern w:val="2"/>
                <w:sz w:val="24"/>
                <w:szCs w:val="20"/>
                <w:lang w:val="en-US" w:eastAsia="zh-CN"/>
              </w:rPr>
            </w:pPr>
            <w:r>
              <w:rPr>
                <w:rFonts w:hint="eastAsia" w:ascii="宋体" w:hAnsi="宋体" w:eastAsia="宋体"/>
                <w:b w:val="0"/>
                <w:bCs w:val="0"/>
                <w:color w:val="auto"/>
                <w:sz w:val="24"/>
              </w:rPr>
              <w:t xml:space="preserve">□是  </w:t>
            </w:r>
            <w:r>
              <w:rPr>
                <w:rFonts w:ascii="宋体" w:hAnsi="宋体" w:eastAsia="宋体"/>
                <w:b w:val="0"/>
                <w:bCs w:val="0"/>
                <w:color w:val="auto"/>
                <w:sz w:val="24"/>
                <w:szCs w:val="24"/>
              </w:rPr>
              <w:sym w:font="Wingdings 2" w:char="0052"/>
            </w:r>
            <w:r>
              <w:rPr>
                <w:rFonts w:hint="eastAsia" w:ascii="宋体" w:hAnsi="宋体" w:eastAsia="宋体"/>
                <w:b w:val="0"/>
                <w:bCs w:val="0"/>
                <w:color w:val="auto"/>
                <w:sz w:val="24"/>
              </w:rPr>
              <w:t>否</w:t>
            </w:r>
            <w:r>
              <w:rPr>
                <w:rFonts w:hint="eastAsia" w:ascii="宋体" w:hAnsi="宋体" w:eastAsia="宋体"/>
                <w:b w:val="0"/>
                <w:bCs w:val="0"/>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报价扣除</w:t>
            </w:r>
          </w:p>
          <w:p>
            <w:pPr>
              <w:pStyle w:val="9"/>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b w:val="0"/>
                <w:i/>
                <w:color w:val="auto"/>
                <w:sz w:val="24"/>
              </w:rPr>
              <w:t>（非专门面向中小企业采购项目适用）</w:t>
            </w:r>
          </w:p>
        </w:tc>
        <w:tc>
          <w:tcPr>
            <w:tcW w:w="7474" w:type="dxa"/>
            <w:noWrap w:val="0"/>
            <w:vAlign w:val="center"/>
          </w:tcPr>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（1）</w:t>
            </w:r>
            <w:r>
              <w:rPr>
                <w:rFonts w:ascii="宋体" w:hAnsi="宋体" w:eastAsia="宋体" w:cs="Times New Roman"/>
                <w:bCs/>
                <w:color w:val="auto"/>
                <w:kern w:val="0"/>
                <w:sz w:val="24"/>
                <w:szCs w:val="28"/>
              </w:rPr>
              <w:t>小型和微型</w:t>
            </w:r>
            <w:r>
              <w:rPr>
                <w:rFonts w:hint="eastAsia" w:ascii="宋体" w:hAnsi="宋体" w:eastAsia="宋体" w:cs="Times New Roman"/>
                <w:bCs/>
                <w:color w:val="auto"/>
                <w:kern w:val="0"/>
                <w:sz w:val="24"/>
                <w:szCs w:val="28"/>
              </w:rPr>
              <w:t>企业价格扣除：</w:t>
            </w:r>
            <w:r>
              <w:rPr>
                <w:rFonts w:hint="eastAsia" w:ascii="宋体" w:hAnsi="宋体" w:cs="Times New Roman"/>
                <w:bCs/>
                <w:color w:val="auto"/>
                <w:kern w:val="0"/>
                <w:sz w:val="24"/>
                <w:szCs w:val="28"/>
                <w:u w:val="single"/>
                <w:lang w:val="en-US" w:eastAsia="zh-CN"/>
              </w:rPr>
              <w:t xml:space="preserve"> </w:t>
            </w:r>
            <w:r>
              <w:rPr>
                <w:rFonts w:hint="eastAsia" w:ascii="宋体" w:hAnsi="宋体" w:eastAsia="宋体" w:cs="Times New Roman"/>
                <w:bCs/>
                <w:color w:val="auto"/>
                <w:kern w:val="0"/>
                <w:sz w:val="24"/>
                <w:szCs w:val="28"/>
                <w:u w:val="single"/>
              </w:rPr>
              <w:t>6</w:t>
            </w:r>
            <w:r>
              <w:rPr>
                <w:rFonts w:hint="eastAsia" w:ascii="宋体" w:hAnsi="宋体" w:cs="Times New Roman"/>
                <w:bCs/>
                <w:color w:val="auto"/>
                <w:kern w:val="0"/>
                <w:sz w:val="24"/>
                <w:szCs w:val="28"/>
                <w:u w:val="single"/>
                <w:lang w:val="en-US" w:eastAsia="zh-CN"/>
              </w:rPr>
              <w:t xml:space="preserve"> </w:t>
            </w:r>
            <w:r>
              <w:rPr>
                <w:rFonts w:ascii="宋体" w:hAnsi="宋体" w:eastAsia="宋体" w:cs="Times New Roman"/>
                <w:bCs/>
                <w:color w:val="auto"/>
                <w:kern w:val="0"/>
                <w:sz w:val="24"/>
                <w:szCs w:val="28"/>
              </w:rPr>
              <w:t>%</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（2）监狱企业价格扣除：</w:t>
            </w:r>
            <w:r>
              <w:rPr>
                <w:rFonts w:hint="eastAsia" w:ascii="宋体" w:hAnsi="宋体" w:eastAsia="宋体" w:cs="Times New Roman"/>
                <w:bCs/>
                <w:color w:val="auto"/>
                <w:kern w:val="0"/>
                <w:sz w:val="24"/>
                <w:szCs w:val="28"/>
                <w:u w:val="single"/>
              </w:rPr>
              <w:t>同</w:t>
            </w:r>
            <w:r>
              <w:rPr>
                <w:rFonts w:ascii="宋体" w:hAnsi="宋体" w:eastAsia="宋体" w:cs="Times New Roman"/>
                <w:bCs/>
                <w:color w:val="auto"/>
                <w:kern w:val="0"/>
                <w:sz w:val="24"/>
                <w:szCs w:val="28"/>
                <w:u w:val="single"/>
              </w:rPr>
              <w:t>小型和微型企业</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（3）残疾人福利性单位价格扣除：</w:t>
            </w:r>
            <w:r>
              <w:rPr>
                <w:rFonts w:hint="eastAsia" w:ascii="宋体" w:hAnsi="宋体" w:eastAsia="宋体" w:cs="Times New Roman"/>
                <w:bCs/>
                <w:color w:val="auto"/>
                <w:kern w:val="0"/>
                <w:sz w:val="24"/>
                <w:szCs w:val="28"/>
                <w:u w:val="single"/>
              </w:rPr>
              <w:t>同</w:t>
            </w:r>
            <w:r>
              <w:rPr>
                <w:rFonts w:ascii="宋体" w:hAnsi="宋体" w:eastAsia="宋体" w:cs="Times New Roman"/>
                <w:bCs/>
                <w:color w:val="auto"/>
                <w:kern w:val="0"/>
                <w:sz w:val="24"/>
                <w:szCs w:val="28"/>
                <w:u w:val="single"/>
              </w:rPr>
              <w:t>小型和微型企业</w:t>
            </w:r>
            <w:r>
              <w:rPr>
                <w:rFonts w:hint="eastAsia" w:ascii="宋体" w:hAnsi="宋体" w:eastAsia="宋体" w:cs="Times New Roman"/>
                <w:bCs/>
                <w:color w:val="auto"/>
                <w:kern w:val="0"/>
                <w:sz w:val="24"/>
                <w:szCs w:val="28"/>
              </w:rPr>
              <w:t>。</w:t>
            </w:r>
          </w:p>
          <w:p>
            <w:pPr>
              <w:spacing w:line="360" w:lineRule="auto"/>
              <w:rPr>
                <w:rFonts w:ascii="宋体" w:hAnsi="宋体" w:eastAsia="宋体" w:cs="Times New Roman"/>
                <w:bCs/>
                <w:color w:val="auto"/>
                <w:kern w:val="0"/>
                <w:sz w:val="24"/>
                <w:szCs w:val="28"/>
              </w:rPr>
            </w:pPr>
            <w:r>
              <w:rPr>
                <w:rFonts w:hint="eastAsia" w:ascii="宋体" w:hAnsi="宋体" w:eastAsia="宋体" w:cs="Times New Roman"/>
                <w:bCs/>
                <w:color w:val="auto"/>
                <w:kern w:val="0"/>
                <w:sz w:val="24"/>
                <w:szCs w:val="28"/>
              </w:rPr>
              <w:t>（4）符合条件的联合体价格扣除：</w:t>
            </w:r>
            <w:r>
              <w:rPr>
                <w:rFonts w:hint="eastAsia" w:ascii="宋体" w:hAnsi="宋体" w:cs="Times New Roman"/>
                <w:bCs/>
                <w:color w:val="auto"/>
                <w:kern w:val="0"/>
                <w:sz w:val="24"/>
                <w:szCs w:val="28"/>
                <w:u w:val="single"/>
                <w:lang w:val="en-US" w:eastAsia="zh-CN"/>
              </w:rPr>
              <w:t xml:space="preserve"> / </w:t>
            </w:r>
            <w:r>
              <w:rPr>
                <w:rFonts w:ascii="宋体" w:hAnsi="宋体" w:eastAsia="宋体" w:cs="Times New Roman"/>
                <w:bCs/>
                <w:color w:val="auto"/>
                <w:kern w:val="0"/>
                <w:sz w:val="24"/>
                <w:szCs w:val="28"/>
              </w:rPr>
              <w:t>%</w:t>
            </w:r>
            <w:r>
              <w:rPr>
                <w:rFonts w:hint="eastAsia" w:ascii="宋体" w:hAnsi="宋体" w:eastAsia="宋体" w:cs="Times New Roman"/>
                <w:bCs/>
                <w:color w:val="auto"/>
                <w:kern w:val="0"/>
                <w:sz w:val="24"/>
                <w:szCs w:val="28"/>
              </w:rPr>
              <w:t>。</w:t>
            </w:r>
          </w:p>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cs="Times New Roman"/>
                <w:b w:val="0"/>
                <w:bCs w:val="0"/>
                <w:color w:val="auto"/>
                <w:kern w:val="2"/>
                <w:sz w:val="24"/>
                <w:szCs w:val="20"/>
              </w:rPr>
              <w:t>（5）符合条件的向小微企业分包的大中型企业价格扣除：</w:t>
            </w:r>
            <w:r>
              <w:rPr>
                <w:rFonts w:hint="eastAsia" w:ascii="宋体" w:hAnsi="宋体" w:cs="Times New Roman"/>
                <w:bCs/>
                <w:color w:val="auto"/>
                <w:kern w:val="0"/>
                <w:sz w:val="24"/>
                <w:szCs w:val="28"/>
                <w:u w:val="single"/>
                <w:lang w:val="en-US" w:eastAsia="zh-CN"/>
              </w:rPr>
              <w:t xml:space="preserve"> </w:t>
            </w:r>
            <w:r>
              <w:rPr>
                <w:rFonts w:hint="eastAsia" w:ascii="宋体" w:hAnsi="宋体" w:cs="Times New Roman"/>
                <w:b w:val="0"/>
                <w:bCs w:val="0"/>
                <w:color w:val="auto"/>
                <w:kern w:val="0"/>
                <w:sz w:val="24"/>
                <w:szCs w:val="28"/>
                <w:u w:val="single"/>
                <w:lang w:val="en-US" w:eastAsia="zh-CN"/>
              </w:rPr>
              <w:t>/</w:t>
            </w:r>
            <w:r>
              <w:rPr>
                <w:rFonts w:hint="eastAsia" w:ascii="宋体" w:hAnsi="宋体" w:cs="Times New Roman"/>
                <w:bCs/>
                <w:color w:val="auto"/>
                <w:kern w:val="0"/>
                <w:sz w:val="24"/>
                <w:szCs w:val="28"/>
                <w:u w:val="single"/>
                <w:lang w:val="en-US" w:eastAsia="zh-CN"/>
              </w:rPr>
              <w:t xml:space="preserve"> </w:t>
            </w:r>
            <w:r>
              <w:rPr>
                <w:rFonts w:ascii="宋体" w:hAnsi="宋体" w:eastAsia="宋体" w:cs="Times New Roman"/>
                <w:b w:val="0"/>
                <w:bCs w:val="0"/>
                <w:color w:val="auto"/>
                <w:kern w:val="2"/>
                <w:sz w:val="24"/>
                <w:szCs w:val="20"/>
              </w:rPr>
              <w:t>%</w:t>
            </w:r>
            <w:r>
              <w:rPr>
                <w:rFonts w:hint="eastAsia" w:ascii="宋体" w:hAnsi="宋体" w:eastAsia="宋体" w:cs="Times New Roman"/>
                <w:b w:val="0"/>
                <w:bCs w:val="0"/>
                <w:color w:val="auto"/>
                <w:kern w:val="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pStyle w:val="9"/>
              <w:widowControl w:val="0"/>
              <w:spacing w:before="0" w:beforeAutospacing="0" w:after="0" w:afterAutospacing="0" w:line="360" w:lineRule="auto"/>
              <w:jc w:val="both"/>
              <w:rPr>
                <w:rFonts w:hint="eastAsia" w:ascii="宋体" w:hAnsi="宋体" w:eastAsia="宋体" w:cs="宋体"/>
                <w:color w:val="auto"/>
                <w:sz w:val="24"/>
                <w:szCs w:val="24"/>
                <w:lang w:eastAsia="zh-CN"/>
              </w:rPr>
            </w:pPr>
            <w:r>
              <w:rPr>
                <w:rFonts w:hint="eastAsia" w:ascii="宋体" w:hAnsi="宋体" w:eastAsia="宋体"/>
                <w:b w:val="0"/>
                <w:color w:val="auto"/>
                <w:sz w:val="24"/>
              </w:rPr>
              <w:t>履约保证金</w:t>
            </w:r>
          </w:p>
        </w:tc>
        <w:tc>
          <w:tcPr>
            <w:tcW w:w="7474" w:type="dxa"/>
            <w:noWrap w:val="0"/>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免收</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合同价的</w:t>
            </w:r>
            <w:r>
              <w:rPr>
                <w:rFonts w:hint="eastAsia" w:ascii="宋体" w:hAnsi="宋体" w:eastAsia="宋体"/>
                <w:b w:val="0"/>
                <w:sz w:val="24"/>
                <w:u w:val="single"/>
              </w:rPr>
              <w:t>3</w:t>
            </w:r>
            <w:r>
              <w:rPr>
                <w:rFonts w:ascii="宋体" w:hAnsi="宋体" w:eastAsia="宋体"/>
                <w:b w:val="0"/>
                <w:sz w:val="24"/>
              </w:rPr>
              <w:t>%</w:t>
            </w:r>
          </w:p>
          <w:p>
            <w:pPr>
              <w:pStyle w:val="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定额收取：人民币</w:t>
            </w:r>
            <w:r>
              <w:rPr>
                <w:rFonts w:hint="eastAsia" w:ascii="宋体" w:hAnsi="宋体" w:eastAsia="宋体"/>
                <w:b w:val="0"/>
                <w:sz w:val="24"/>
                <w:u w:val="single"/>
              </w:rPr>
              <w:t xml:space="preserve">       /       </w:t>
            </w:r>
            <w:r>
              <w:rPr>
                <w:rFonts w:hint="eastAsia" w:ascii="宋体" w:hAnsi="宋体" w:eastAsia="宋体"/>
                <w:b w:val="0"/>
                <w:sz w:val="24"/>
              </w:rPr>
              <w:t>元</w:t>
            </w:r>
          </w:p>
          <w:p>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2" w:char="0052"/>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ascii="宋体" w:hAnsi="宋体" w:eastAsia="宋体"/>
                <w:bCs/>
                <w:kern w:val="0"/>
                <w:sz w:val="24"/>
                <w:szCs w:val="28"/>
              </w:rPr>
              <w:t xml:space="preserve">支票 </w:t>
            </w:r>
            <w:r>
              <w:rPr>
                <w:rFonts w:hint="eastAsia" w:ascii="宋体" w:hAnsi="宋体" w:eastAsia="宋体"/>
                <w:bCs/>
                <w:kern w:val="0"/>
                <w:sz w:val="24"/>
                <w:szCs w:val="28"/>
              </w:rPr>
              <w:sym w:font="Wingdings 2" w:char="0052"/>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2" w:char="0052"/>
            </w:r>
            <w:r>
              <w:rPr>
                <w:rFonts w:hint="eastAsia" w:ascii="宋体" w:hAnsi="宋体" w:eastAsia="宋体"/>
                <w:bCs/>
                <w:kern w:val="0"/>
                <w:sz w:val="24"/>
                <w:szCs w:val="28"/>
              </w:rPr>
              <w:t>保</w:t>
            </w:r>
            <w:r>
              <w:rPr>
                <w:rFonts w:ascii="宋体" w:hAnsi="宋体" w:eastAsia="宋体"/>
                <w:bCs/>
                <w:kern w:val="0"/>
                <w:sz w:val="24"/>
                <w:szCs w:val="28"/>
              </w:rPr>
              <w:t>函</w:t>
            </w:r>
          </w:p>
          <w:p>
            <w:pPr>
              <w:spacing w:line="360" w:lineRule="auto"/>
              <w:rPr>
                <w:rFonts w:ascii="宋体" w:hAnsi="宋体" w:eastAsia="宋体"/>
                <w:bCs/>
                <w:kern w:val="0"/>
                <w:sz w:val="24"/>
                <w:szCs w:val="28"/>
              </w:rPr>
            </w:pPr>
            <w:r>
              <w:rPr>
                <w:rFonts w:hint="eastAsia" w:ascii="宋体" w:hAnsi="宋体" w:eastAsia="宋体"/>
                <w:bCs/>
                <w:kern w:val="0"/>
                <w:sz w:val="24"/>
                <w:szCs w:val="28"/>
              </w:rPr>
              <w:t>1.如采用金融机构出具的保函（银行保函），应为银行出具的见索即付无条件保函。</w:t>
            </w:r>
          </w:p>
          <w:p>
            <w:pPr>
              <w:spacing w:line="360" w:lineRule="auto"/>
              <w:rPr>
                <w:rFonts w:ascii="宋体" w:hAnsi="宋体" w:eastAsia="宋体"/>
                <w:bCs/>
                <w:kern w:val="0"/>
                <w:sz w:val="24"/>
                <w:szCs w:val="28"/>
              </w:rPr>
            </w:pPr>
            <w:r>
              <w:rPr>
                <w:rFonts w:hint="eastAsia" w:ascii="宋体" w:hAnsi="宋体" w:eastAsia="宋体"/>
                <w:bCs/>
                <w:kern w:val="0"/>
                <w:sz w:val="24"/>
                <w:szCs w:val="28"/>
              </w:rPr>
              <w:t>2.如采用担保机构出具的保函（担保机构担保），应为经安徽省地方金融监督管理局审查批准，依法取得融资担保业务经营许可证的融资担保机构出具的无条件保函。</w:t>
            </w:r>
          </w:p>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（3）收取单位：安徽交通职业技术学院</w:t>
            </w:r>
          </w:p>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ascii="宋体" w:hAnsi="宋体" w:eastAsia="宋体"/>
                <w:b w:val="0"/>
                <w:sz w:val="24"/>
              </w:rPr>
              <w:t xml:space="preserve">合同签订前   </w:t>
            </w:r>
          </w:p>
          <w:p>
            <w:pPr>
              <w:pStyle w:val="9"/>
              <w:widowControl w:val="0"/>
              <w:spacing w:before="0" w:beforeAutospacing="0" w:after="0" w:afterAutospacing="0" w:line="360" w:lineRule="auto"/>
              <w:jc w:val="both"/>
              <w:rPr>
                <w:rFonts w:hint="eastAsia" w:ascii="宋体" w:hAnsi="宋体" w:cs="宋体"/>
                <w:b/>
                <w:bCs/>
                <w:color w:val="auto"/>
                <w:sz w:val="24"/>
                <w:szCs w:val="24"/>
                <w:lang w:eastAsia="zh-CN"/>
              </w:rPr>
            </w:pPr>
            <w:r>
              <w:rPr>
                <w:rFonts w:hint="eastAsia" w:ascii="宋体" w:hAnsi="宋体" w:eastAsia="宋体"/>
                <w:b w:val="0"/>
                <w:sz w:val="24"/>
              </w:rPr>
              <w:t>（5）退还时间：供货安装完成且验收合格后，待质保期（</w:t>
            </w:r>
            <w:r>
              <w:rPr>
                <w:rFonts w:hint="eastAsia" w:ascii="宋体" w:hAnsi="宋体" w:eastAsia="宋体"/>
                <w:b w:val="0"/>
                <w:sz w:val="24"/>
                <w:highlight w:val="none"/>
              </w:rPr>
              <w:t>三年</w:t>
            </w:r>
            <w:r>
              <w:rPr>
                <w:rFonts w:hint="eastAsia" w:ascii="宋体" w:hAnsi="宋体" w:eastAsia="宋体"/>
                <w:b w:val="0"/>
                <w:sz w:val="24"/>
              </w:rPr>
              <w:t>）满后一次性无息退还。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16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7474" w:type="dxa"/>
            <w:noWrap w:val="0"/>
            <w:vAlign w:val="center"/>
          </w:tcPr>
          <w:p>
            <w:pPr>
              <w:spacing w:line="500" w:lineRule="exact"/>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5" w:type="dxa"/>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标前公示反馈截止时间</w:t>
            </w:r>
          </w:p>
        </w:tc>
        <w:tc>
          <w:tcPr>
            <w:tcW w:w="7474" w:type="dxa"/>
            <w:noWrap w:val="0"/>
            <w:vAlign w:val="center"/>
          </w:tcPr>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20</w:t>
            </w:r>
            <w:r>
              <w:rPr>
                <w:rFonts w:hint="eastAsia" w:ascii="宋体" w:hAnsi="宋体" w:cs="宋体"/>
                <w:b/>
                <w:color w:val="auto"/>
                <w:sz w:val="24"/>
                <w:szCs w:val="24"/>
                <w:lang w:val="en-US" w:eastAsia="zh-CN"/>
              </w:rPr>
              <w:t>21</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日17:</w:t>
            </w:r>
            <w:r>
              <w:rPr>
                <w:rFonts w:hint="eastAsia" w:ascii="宋体" w:hAnsi="宋体" w:cs="宋体"/>
                <w:b/>
                <w:color w:val="auto"/>
                <w:sz w:val="24"/>
                <w:szCs w:val="24"/>
                <w:lang w:val="en-US" w:eastAsia="zh-CN"/>
              </w:rPr>
              <w:t>00</w:t>
            </w:r>
            <w:r>
              <w:rPr>
                <w:rFonts w:hint="eastAsia" w:ascii="宋体" w:hAnsi="宋体" w:eastAsia="宋体" w:cs="宋体"/>
                <w:b/>
                <w:color w:val="auto"/>
                <w:sz w:val="24"/>
                <w:szCs w:val="24"/>
              </w:rPr>
              <w:t>前（超过规定时间的视同放弃）</w:t>
            </w:r>
          </w:p>
        </w:tc>
      </w:tr>
    </w:tbl>
    <w:p>
      <w:pPr>
        <w:rPr>
          <w:rFonts w:hint="eastAsia" w:ascii="宋体" w:hAnsi="宋体" w:eastAsia="宋体"/>
          <w:b/>
          <w:sz w:val="28"/>
        </w:rPr>
      </w:pPr>
      <w:r>
        <w:rPr>
          <w:rFonts w:hint="eastAsia" w:ascii="宋体" w:hAnsi="宋体" w:eastAsia="宋体"/>
          <w:b/>
          <w:sz w:val="28"/>
        </w:rPr>
        <w:br w:type="page"/>
      </w:r>
    </w:p>
    <w:p>
      <w:pPr>
        <w:spacing w:line="360" w:lineRule="auto"/>
        <w:jc w:val="center"/>
        <w:outlineLvl w:val="1"/>
        <w:rPr>
          <w:rFonts w:ascii="宋体" w:hAnsi="宋体" w:eastAsia="宋体"/>
          <w:b/>
          <w:sz w:val="28"/>
        </w:rPr>
      </w:pPr>
      <w:r>
        <w:rPr>
          <w:rFonts w:hint="eastAsia" w:ascii="宋体" w:hAnsi="宋体" w:eastAsia="宋体"/>
          <w:b/>
          <w:sz w:val="28"/>
        </w:rPr>
        <w:t>采购需求</w:t>
      </w:r>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sz w:val="24"/>
          <w:szCs w:val="18"/>
          <w:highlight w:val="yellow"/>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5"/>
        <w:rPr>
          <w:rFonts w:ascii="宋体" w:hAnsi="宋体" w:eastAsia="宋体"/>
          <w:sz w:val="24"/>
          <w:szCs w:val="18"/>
        </w:rPr>
      </w:pP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3" w:type="dxa"/>
            <w:noWrap w:val="0"/>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全部货物供货安装完成并经验收合格后支付合同金额的100%。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sz w:val="24"/>
                <w:highlight w:val="none"/>
              </w:rPr>
              <w:t>合同签订生效后</w:t>
            </w:r>
            <w:r>
              <w:rPr>
                <w:rFonts w:hint="eastAsia" w:ascii="宋体" w:hAnsi="宋体" w:eastAsia="宋体"/>
                <w:b w:val="0"/>
                <w:sz w:val="24"/>
                <w:highlight w:val="none"/>
              </w:rPr>
              <w:t>45个日历日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2" w:type="dxa"/>
            <w:noWrap w:val="0"/>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483" w:type="dxa"/>
            <w:noWrap w:val="0"/>
            <w:vAlign w:val="center"/>
          </w:tcPr>
          <w:p>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7" w:type="dxa"/>
            <w:noWrap w:val="0"/>
            <w:vAlign w:val="center"/>
          </w:tcPr>
          <w:p>
            <w:pPr>
              <w:pStyle w:val="10"/>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p>
        </w:tc>
        <w:tc>
          <w:tcPr>
            <w:tcW w:w="2032" w:type="dxa"/>
            <w:noWrap w:val="0"/>
            <w:vAlign w:val="center"/>
          </w:tcPr>
          <w:p>
            <w:pPr>
              <w:pStyle w:val="9"/>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采购标的对应的中小企业划分标准所属行业</w:t>
            </w:r>
          </w:p>
        </w:tc>
        <w:tc>
          <w:tcPr>
            <w:tcW w:w="5483" w:type="dxa"/>
            <w:noWrap w:val="0"/>
            <w:vAlign w:val="center"/>
          </w:tcPr>
          <w:p>
            <w:pPr>
              <w:pStyle w:val="9"/>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详见货物</w:t>
            </w:r>
            <w:r>
              <w:rPr>
                <w:rFonts w:ascii="宋体" w:hAnsi="宋体" w:eastAsia="宋体"/>
                <w:b w:val="0"/>
                <w:sz w:val="24"/>
                <w:highlight w:val="none"/>
              </w:rPr>
              <w:t>需求</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rPr>
        <w:t>二、货物需求</w:t>
      </w:r>
    </w:p>
    <w:tbl>
      <w:tblPr>
        <w:tblStyle w:val="7"/>
        <w:tblW w:w="10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91"/>
        <w:gridCol w:w="454"/>
        <w:gridCol w:w="1070"/>
        <w:gridCol w:w="1090"/>
        <w:gridCol w:w="925"/>
        <w:gridCol w:w="4375"/>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pStyle w:val="11"/>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b/>
                <w:bCs/>
                <w:color w:val="auto"/>
                <w:highlight w:val="none"/>
              </w:rPr>
            </w:pPr>
            <w:r>
              <w:rPr>
                <w:rFonts w:hint="eastAsia" w:ascii="宋体" w:hAnsi="宋体" w:eastAsia="宋体" w:cs="宋体"/>
                <w:b/>
                <w:bCs/>
                <w:color w:val="auto"/>
                <w:highlight w:val="none"/>
              </w:rPr>
              <w:t>技术参数</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b/>
                <w:bCs/>
                <w:color w:val="auto"/>
                <w:highlight w:val="none"/>
              </w:rPr>
            </w:pPr>
            <w:r>
              <w:rPr>
                <w:rFonts w:hint="eastAsia" w:ascii="宋体" w:hAnsi="宋体" w:eastAsia="宋体" w:cs="宋体"/>
                <w:b/>
                <w:bCs/>
                <w:color w:val="auto"/>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1/3号主变保护测控屏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设备以典型的轨道交通牵引变电所保护测控屏柜为基础进行设计。满足学员进行故障分析和排查的功能。主要用于牵引变电所故障排查及处理项目的考核。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1号馈线保护测控屏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设备以典型的轨道交通牵引变电所保护测控屏柜为基础进行设计。满足学员进行故障分析和排查的能力。主要用于牵引变电所故障排查及处理项目的考核。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馈线保护测控屏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设备以典型的轨道交通牵引变电所馈线保护测控屏柜为基础进行设计。满足学员进行手动操作、接线配线的功能，综合考核学员的配线工艺素养、工程设计能力。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断路器就地控制箱</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以断路器一次设备为原型进行功能开发，满足学员进行断路器一、二次设备间配线、调试。主要用于牵引变电所测控保护回路的配线/安装/调试考核。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电源屏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为现场设备提供稳定的供电系统</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综合工况模拟屏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该设备利用自主研发信号模拟系统对外同时提供多路短路电流、短路电压及其它开关量和非电量的输出，能够满足牵引变电所一次回路故障和二次控制回路故障的模拟。该设备是牵引变电所综合工况接线及验证项目的核心设备。</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工具柜</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工具柜内配置安全防护工具，手动接线、配线工具以及故障检测使用工具。主要用于牵引变电所故障排查及处理、牵引变电所测控保护回路的配线/安装/调试2个项目的考核。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学员终端</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考生终端由一台高性能计算机、一台显示器和一套办公桌椅构成。终端上部署有故障软件系统，主要用于牵引变电所故障排查及处理、牵引变电所测控保护回路的配线/安装/调试2个项目的考核。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裁判员（教员）终端</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裁判员(教员）终端是整个竞赛设备的控制评分系统，主要由一台高性能的计算机、一台显示和一套桌椅组成。主要用于牵引变电所故障排查及处理、牵引变电所测控保护回路的配线/安装/调试2个项目的考核。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试题库</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试题库由试卷组成；试卷题目涉及各模块考核内容。</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345" w:type="dxa"/>
            <w:gridSpan w:val="2"/>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实训及考核内容</w:t>
            </w:r>
          </w:p>
        </w:tc>
        <w:tc>
          <w:tcPr>
            <w:tcW w:w="1070" w:type="dxa"/>
            <w:vMerge w:val="restart"/>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牵引变电所故障排查及处理</w:t>
            </w:r>
          </w:p>
        </w:tc>
        <w:tc>
          <w:tcPr>
            <w:tcW w:w="1090" w:type="dxa"/>
            <w:noWrap w:val="0"/>
            <w:vAlign w:val="center"/>
          </w:tcPr>
          <w:p>
            <w:pPr>
              <w:widowControl/>
              <w:spacing w:before="120"/>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电量类故障</w:t>
            </w:r>
          </w:p>
        </w:tc>
        <w:tc>
          <w:tcPr>
            <w:tcW w:w="5300" w:type="dxa"/>
            <w:gridSpan w:val="2"/>
            <w:noWrap w:val="0"/>
            <w:vAlign w:val="center"/>
          </w:tcPr>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轻瓦斯保护</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温度I段保护</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温度II段保护动作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压力释放保护动作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重瓦斯保护动作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馈线侧过流保护动作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馈线侧速断保护动作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主变低压侧过流保护动作</w:t>
            </w:r>
          </w:p>
          <w:p>
            <w:pPr>
              <w:pStyle w:val="11"/>
              <w:numPr>
                <w:ilvl w:val="0"/>
                <w:numId w:val="1"/>
              </w:numPr>
              <w:jc w:val="left"/>
              <w:rPr>
                <w:rFonts w:ascii="宋体" w:hAnsi="宋体" w:eastAsia="宋体" w:cs="宋体"/>
                <w:color w:val="auto"/>
                <w:highlight w:val="none"/>
              </w:rPr>
            </w:pPr>
            <w:r>
              <w:rPr>
                <w:rFonts w:hint="eastAsia" w:ascii="宋体" w:hAnsi="宋体" w:eastAsia="宋体" w:cs="宋体"/>
                <w:color w:val="auto"/>
                <w:highlight w:val="none"/>
              </w:rPr>
              <w:t>主变高压侧过流保护动作</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10、主变高压侧速断保护动作</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11、主变过负荷保护动作</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345" w:type="dxa"/>
            <w:gridSpan w:val="2"/>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vMerge w:val="continue"/>
            <w:noWrap w:val="0"/>
            <w:vAlign w:val="center"/>
          </w:tcPr>
          <w:p>
            <w:pPr>
              <w:widowControl/>
              <w:jc w:val="left"/>
              <w:textAlignment w:val="center"/>
              <w:rPr>
                <w:rFonts w:ascii="宋体" w:hAnsi="宋体" w:eastAsia="宋体" w:cs="宋体"/>
                <w:color w:val="auto"/>
                <w:szCs w:val="21"/>
                <w:highlight w:val="none"/>
              </w:rPr>
            </w:pP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断线类故障</w:t>
            </w:r>
          </w:p>
        </w:tc>
        <w:tc>
          <w:tcPr>
            <w:tcW w:w="5300" w:type="dxa"/>
            <w:gridSpan w:val="2"/>
            <w:noWrap w:val="0"/>
            <w:vAlign w:val="center"/>
          </w:tcPr>
          <w:p>
            <w:pPr>
              <w:pStyle w:val="11"/>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断路器故障为以下5种类型的故障：</w:t>
            </w:r>
          </w:p>
          <w:p>
            <w:pPr>
              <w:pStyle w:val="11"/>
              <w:numPr>
                <w:ilvl w:val="0"/>
                <w:numId w:val="2"/>
              </w:numPr>
              <w:ind w:firstLine="480"/>
              <w:jc w:val="left"/>
              <w:rPr>
                <w:rFonts w:ascii="宋体" w:hAnsi="宋体" w:eastAsia="宋体" w:cs="宋体"/>
                <w:color w:val="auto"/>
                <w:highlight w:val="none"/>
              </w:rPr>
            </w:pPr>
            <w:r>
              <w:rPr>
                <w:rFonts w:hint="eastAsia" w:ascii="宋体" w:hAnsi="宋体" w:eastAsia="宋体" w:cs="宋体"/>
                <w:color w:val="auto"/>
                <w:highlight w:val="none"/>
              </w:rPr>
              <w:t>断路器控制回路断线</w:t>
            </w:r>
          </w:p>
          <w:p>
            <w:pPr>
              <w:pStyle w:val="11"/>
              <w:numPr>
                <w:ilvl w:val="0"/>
                <w:numId w:val="2"/>
              </w:numPr>
              <w:ind w:firstLine="480"/>
              <w:jc w:val="left"/>
              <w:rPr>
                <w:rFonts w:ascii="宋体" w:hAnsi="宋体" w:eastAsia="宋体" w:cs="宋体"/>
                <w:color w:val="auto"/>
                <w:highlight w:val="none"/>
              </w:rPr>
            </w:pPr>
            <w:r>
              <w:rPr>
                <w:rFonts w:hint="eastAsia" w:ascii="宋体" w:hAnsi="宋体" w:eastAsia="宋体" w:cs="宋体"/>
                <w:color w:val="auto"/>
                <w:highlight w:val="none"/>
              </w:rPr>
              <w:t>断路器手合回路断线</w:t>
            </w:r>
          </w:p>
          <w:p>
            <w:pPr>
              <w:pStyle w:val="11"/>
              <w:numPr>
                <w:ilvl w:val="0"/>
                <w:numId w:val="2"/>
              </w:numPr>
              <w:ind w:firstLine="480"/>
              <w:jc w:val="left"/>
              <w:rPr>
                <w:rFonts w:ascii="宋体" w:hAnsi="宋体" w:eastAsia="宋体" w:cs="宋体"/>
                <w:color w:val="auto"/>
                <w:highlight w:val="none"/>
              </w:rPr>
            </w:pPr>
            <w:r>
              <w:rPr>
                <w:rFonts w:hint="eastAsia" w:ascii="宋体" w:hAnsi="宋体" w:eastAsia="宋体" w:cs="宋体"/>
                <w:color w:val="auto"/>
                <w:highlight w:val="none"/>
              </w:rPr>
              <w:t>断路器手分回路断线</w:t>
            </w:r>
          </w:p>
          <w:p>
            <w:pPr>
              <w:pStyle w:val="11"/>
              <w:numPr>
                <w:ilvl w:val="0"/>
                <w:numId w:val="2"/>
              </w:numPr>
              <w:ind w:firstLine="480"/>
              <w:jc w:val="left"/>
              <w:rPr>
                <w:rFonts w:ascii="宋体" w:hAnsi="宋体" w:eastAsia="宋体" w:cs="宋体"/>
                <w:color w:val="auto"/>
                <w:highlight w:val="none"/>
              </w:rPr>
            </w:pPr>
            <w:r>
              <w:rPr>
                <w:rFonts w:hint="eastAsia" w:ascii="宋体" w:hAnsi="宋体" w:eastAsia="宋体" w:cs="宋体"/>
                <w:color w:val="auto"/>
                <w:highlight w:val="none"/>
              </w:rPr>
              <w:t>断路器合闸信号灯损坏</w:t>
            </w:r>
          </w:p>
          <w:p>
            <w:pPr>
              <w:pStyle w:val="11"/>
              <w:numPr>
                <w:ilvl w:val="0"/>
                <w:numId w:val="2"/>
              </w:numPr>
              <w:ind w:firstLine="480"/>
              <w:jc w:val="left"/>
              <w:rPr>
                <w:rFonts w:ascii="宋体" w:hAnsi="宋体" w:eastAsia="宋体" w:cs="宋体"/>
                <w:color w:val="auto"/>
                <w:highlight w:val="none"/>
              </w:rPr>
            </w:pPr>
            <w:r>
              <w:rPr>
                <w:rFonts w:hint="eastAsia" w:ascii="宋体" w:hAnsi="宋体" w:eastAsia="宋体" w:cs="宋体"/>
                <w:color w:val="auto"/>
                <w:highlight w:val="none"/>
              </w:rPr>
              <w:t>断路器分闸信号灯损坏</w:t>
            </w:r>
          </w:p>
          <w:p>
            <w:pPr>
              <w:pStyle w:val="11"/>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 xml:space="preserve">隔离开关故障为以下5种类型的故障： </w:t>
            </w:r>
          </w:p>
          <w:p>
            <w:pPr>
              <w:pStyle w:val="11"/>
              <w:numPr>
                <w:ilvl w:val="0"/>
                <w:numId w:val="3"/>
              </w:numPr>
              <w:ind w:firstLine="480"/>
              <w:jc w:val="left"/>
              <w:rPr>
                <w:rFonts w:ascii="宋体" w:hAnsi="宋体" w:eastAsia="宋体" w:cs="宋体"/>
                <w:color w:val="auto"/>
                <w:highlight w:val="none"/>
              </w:rPr>
            </w:pPr>
            <w:r>
              <w:rPr>
                <w:rFonts w:hint="eastAsia" w:ascii="宋体" w:hAnsi="宋体" w:eastAsia="宋体" w:cs="宋体"/>
                <w:color w:val="auto"/>
                <w:highlight w:val="none"/>
              </w:rPr>
              <w:t>隔离开关控制回路断线</w:t>
            </w:r>
          </w:p>
          <w:p>
            <w:pPr>
              <w:pStyle w:val="11"/>
              <w:numPr>
                <w:ilvl w:val="0"/>
                <w:numId w:val="3"/>
              </w:numPr>
              <w:ind w:firstLine="480"/>
              <w:jc w:val="left"/>
              <w:rPr>
                <w:rFonts w:ascii="宋体" w:hAnsi="宋体" w:eastAsia="宋体" w:cs="宋体"/>
                <w:color w:val="auto"/>
                <w:highlight w:val="none"/>
              </w:rPr>
            </w:pPr>
            <w:r>
              <w:rPr>
                <w:rFonts w:hint="eastAsia" w:ascii="宋体" w:hAnsi="宋体" w:eastAsia="宋体" w:cs="宋体"/>
                <w:color w:val="auto"/>
                <w:highlight w:val="none"/>
              </w:rPr>
              <w:t>隔离开关手合回路断线</w:t>
            </w:r>
          </w:p>
          <w:p>
            <w:pPr>
              <w:pStyle w:val="11"/>
              <w:numPr>
                <w:ilvl w:val="0"/>
                <w:numId w:val="3"/>
              </w:numPr>
              <w:ind w:firstLine="480"/>
              <w:jc w:val="left"/>
              <w:rPr>
                <w:rFonts w:ascii="宋体" w:hAnsi="宋体" w:eastAsia="宋体" w:cs="宋体"/>
                <w:color w:val="auto"/>
                <w:highlight w:val="none"/>
              </w:rPr>
            </w:pPr>
            <w:r>
              <w:rPr>
                <w:rFonts w:hint="eastAsia" w:ascii="宋体" w:hAnsi="宋体" w:eastAsia="宋体" w:cs="宋体"/>
                <w:color w:val="auto"/>
                <w:highlight w:val="none"/>
              </w:rPr>
              <w:t>隔离开关手分回路断线</w:t>
            </w:r>
          </w:p>
          <w:p>
            <w:pPr>
              <w:pStyle w:val="11"/>
              <w:numPr>
                <w:ilvl w:val="0"/>
                <w:numId w:val="3"/>
              </w:numPr>
              <w:ind w:firstLine="480"/>
              <w:jc w:val="left"/>
              <w:rPr>
                <w:rFonts w:ascii="宋体" w:hAnsi="宋体" w:eastAsia="宋体" w:cs="宋体"/>
                <w:color w:val="auto"/>
                <w:highlight w:val="none"/>
              </w:rPr>
            </w:pPr>
            <w:r>
              <w:rPr>
                <w:rFonts w:hint="eastAsia" w:ascii="宋体" w:hAnsi="宋体" w:eastAsia="宋体" w:cs="宋体"/>
                <w:color w:val="auto"/>
                <w:highlight w:val="none"/>
              </w:rPr>
              <w:t>隔离开关合闸信号灯损坏</w:t>
            </w:r>
          </w:p>
          <w:p>
            <w:pPr>
              <w:pStyle w:val="11"/>
              <w:numPr>
                <w:ilvl w:val="0"/>
                <w:numId w:val="3"/>
              </w:numPr>
              <w:ind w:firstLine="480"/>
              <w:jc w:val="left"/>
              <w:rPr>
                <w:rFonts w:ascii="宋体" w:hAnsi="宋体" w:eastAsia="宋体" w:cs="宋体"/>
                <w:color w:val="auto"/>
                <w:highlight w:val="none"/>
              </w:rPr>
            </w:pPr>
            <w:r>
              <w:rPr>
                <w:rFonts w:hint="eastAsia" w:ascii="宋体" w:hAnsi="宋体" w:eastAsia="宋体" w:cs="宋体"/>
                <w:color w:val="auto"/>
                <w:highlight w:val="none"/>
              </w:rPr>
              <w:t>隔离开关分闸信号灯损坏</w:t>
            </w:r>
          </w:p>
          <w:p>
            <w:pPr>
              <w:widowControl/>
              <w:jc w:val="center"/>
              <w:textAlignment w:val="center"/>
              <w:rPr>
                <w:rFonts w:ascii="宋体" w:hAnsi="宋体" w:eastAsia="宋体" w:cs="宋体"/>
                <w:color w:val="auto"/>
                <w:szCs w:val="21"/>
                <w:highlight w:val="none"/>
              </w:rPr>
            </w:pP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345" w:type="dxa"/>
            <w:gridSpan w:val="2"/>
            <w:vMerge w:val="continue"/>
            <w:noWrap w:val="0"/>
            <w:vAlign w:val="center"/>
          </w:tcPr>
          <w:p>
            <w:pPr>
              <w:widowControl/>
              <w:jc w:val="left"/>
              <w:textAlignment w:val="center"/>
              <w:rPr>
                <w:rFonts w:ascii="宋体" w:hAnsi="宋体" w:eastAsia="宋体" w:cs="宋体"/>
                <w:color w:val="auto"/>
                <w:szCs w:val="21"/>
                <w:highlight w:val="none"/>
              </w:rPr>
            </w:pPr>
          </w:p>
        </w:tc>
        <w:tc>
          <w:tcPr>
            <w:tcW w:w="107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牵引变电所测控保护回路接线考核</w:t>
            </w:r>
          </w:p>
        </w:tc>
        <w:tc>
          <w:tcPr>
            <w:tcW w:w="1090" w:type="dxa"/>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模拟断路器接线</w:t>
            </w:r>
          </w:p>
        </w:tc>
        <w:tc>
          <w:tcPr>
            <w:tcW w:w="5300" w:type="dxa"/>
            <w:gridSpan w:val="2"/>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绘图</w:t>
            </w:r>
          </w:p>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安装布线工艺</w:t>
            </w:r>
          </w:p>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职业素养</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415" w:type="dxa"/>
            <w:gridSpan w:val="3"/>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故障软件系统</w:t>
            </w:r>
          </w:p>
        </w:tc>
        <w:tc>
          <w:tcPr>
            <w:tcW w:w="6390" w:type="dxa"/>
            <w:gridSpan w:val="3"/>
            <w:noWrap w:val="0"/>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可以模拟牵引变电所内常见故障，分为电量类故障和断线类故障。学员在规定时间内完成系统触发故障的分析、排查、确定。所有故障的触发随机出现，必须完成前一个故障处置，系统才会自动触发下一个故障。</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503" w:type="dxa"/>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415" w:type="dxa"/>
            <w:gridSpan w:val="3"/>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教员考评管理软件系统</w:t>
            </w:r>
          </w:p>
        </w:tc>
        <w:tc>
          <w:tcPr>
            <w:tcW w:w="6390" w:type="dxa"/>
            <w:gridSpan w:val="3"/>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考评管理软件系统是整个系统的一个重要组成部分，它承担着整套系统的全方位监管、控制和系统维护任务。从设备的运转前准备到实训结束后的数据处理、评价；从实训课程设计到试卷的下发，从基础数据准备到系统状态检测到任务下发等，均通过考评管理系统完成。</w:t>
            </w:r>
          </w:p>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★教员管理软件能对实训终端进行数据管理、监控管理、试题库管理。提供第三方检测</w:t>
            </w:r>
            <w:r>
              <w:rPr>
                <w:rFonts w:ascii="宋体" w:hAnsi="宋体" w:eastAsia="宋体" w:cs="宋体"/>
                <w:color w:val="auto"/>
                <w:szCs w:val="21"/>
                <w:highlight w:val="none"/>
              </w:rPr>
              <w:t>机构出具的</w:t>
            </w:r>
            <w:r>
              <w:rPr>
                <w:rFonts w:hint="eastAsia" w:ascii="宋体" w:hAnsi="宋体" w:eastAsia="宋体" w:cs="宋体"/>
                <w:color w:val="auto"/>
                <w:szCs w:val="21"/>
                <w:highlight w:val="none"/>
              </w:rPr>
              <w:t>检验报告证明（提供复印件，并标注检验项目所在页）。</w:t>
            </w:r>
          </w:p>
        </w:tc>
        <w:tc>
          <w:tcPr>
            <w:tcW w:w="698" w:type="dxa"/>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98"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值班员终端</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值班员终端由配置不低于：CPU：I7/16G/256GSSD/外加6G独立显卡的一套品牌工控机、一台23.8英寸显示器和一套1.2米长办公桌和一套转椅构成。终端上部署有牵引变电所三维仿真系统主要用于牵引变电所标准化倒闸作业、牵引变电所标准化巡视作业的实训与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助理值班员终端</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助理值班员终端由配置不低于：CPU：I7/16G/256GSSD/外加6G独立显卡的一套品牌工控机、一台23.8英寸显示器和一套1.2米长办公桌和一套转椅构成。终端上部署有牵引变电所三维仿真系统主要用于牵引变电所标准化倒闸作业、牵引变电所标准化巡视作业的实训与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馈线保护测控屏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设备以典型的轨道交通牵引变电所馈线保护测控屏柜为基础进行设计。满足学员进行手动操作、接线配线的功能，综合考核学员的配线工艺素养、工程设计能力。主要用于牵引变电所测控保护回路的配线/安装/调试的实训和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1面</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断路器就地控制箱</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定制，以断路器一次设备为原型进行功能开发，满足学员进行断路器一、二次设备间配线、调试。主要用于牵引变电所测控保护回路的配线/安装/调试考核。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电源屏</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捷安定制，为现场设备提供稳定的供电系统，稳压电源（1）</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工具柜</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工具柜内配置安全防护工具，手动接线、配线工具以及故障检测使用工具。主要用于牵引变电所测控保护回路的配线/安装/调试的实训和考核。</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裁判员(教员）终端</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裁判员(教员）终端是整个系统的控制评分系统，主要由配置不低于：CPU：I5/8G/256GSSD的一套品牌工控机、一台23.8英寸显示器和一套1.6米长的办公桌和一套转椅构成。</w:t>
            </w:r>
          </w:p>
          <w:p>
            <w:pPr>
              <w:pStyle w:val="11"/>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★为保证教员在教员系统的集中管理与控制功能可以进行一键开关机，投标人须提供具有自主知识产权的一种开关机控制装置的证明材料</w:t>
            </w:r>
            <w:r>
              <w:rPr>
                <w:rFonts w:hint="eastAsia" w:ascii="宋体" w:hAnsi="宋体" w:eastAsia="宋体" w:cs="宋体"/>
                <w:color w:val="auto"/>
                <w:highlight w:val="none"/>
                <w:lang w:eastAsia="zh-CN"/>
              </w:rPr>
              <w:t>。</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试题库</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试题库由试卷组成；试卷题目涉及各模块考核内容。</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891" w:type="dxa"/>
            <w:vMerge w:val="restart"/>
            <w:tcBorders>
              <w:top w:val="nil"/>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实训及考核内容</w:t>
            </w:r>
          </w:p>
        </w:tc>
        <w:tc>
          <w:tcPr>
            <w:tcW w:w="1524" w:type="dxa"/>
            <w:gridSpan w:val="2"/>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牵引变电所标准化倒闸作业</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1#、2#KX  XX方向上、下行送电（211、212运行）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1#、2#KX  XX方向上、下行停电（211、212运行）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1#KX  XX方向下行送电（211、212运行）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1#KX  XX方向下行停电（211、212运行）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1L、1B、3B倒至1L、2B、4B运行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1L、1B、3B倒至2L、2B、4B运行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1L、2B、4B倒至2L、2B、4B运行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2#KX  XX方向上行送电（211、212运行）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2L、1B、3B倒至1L、2B、4B运行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2L、1B、3B倒至2L、2B、4B运行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2L、2B、4B倒至1L、2B、4B运行</w:t>
            </w:r>
          </w:p>
          <w:p>
            <w:pPr>
              <w:pStyle w:val="11"/>
              <w:numPr>
                <w:ilvl w:val="0"/>
                <w:numId w:val="4"/>
              </w:numPr>
              <w:jc w:val="left"/>
              <w:rPr>
                <w:rFonts w:ascii="宋体" w:hAnsi="宋体" w:eastAsia="宋体" w:cs="宋体"/>
                <w:color w:val="auto"/>
                <w:highlight w:val="none"/>
              </w:rPr>
            </w:pPr>
            <w:r>
              <w:rPr>
                <w:rFonts w:hint="eastAsia" w:ascii="宋体" w:hAnsi="宋体" w:eastAsia="宋体" w:cs="宋体"/>
                <w:color w:val="auto"/>
                <w:highlight w:val="none"/>
              </w:rPr>
              <w:t>3#KX  XX方向下行停电（213、214运行）</w:t>
            </w:r>
          </w:p>
        </w:tc>
        <w:tc>
          <w:tcPr>
            <w:tcW w:w="698" w:type="dxa"/>
            <w:vMerge w:val="restart"/>
            <w:tcBorders>
              <w:top w:val="single" w:color="auto" w:sz="4" w:space="0"/>
              <w:left w:val="nil"/>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89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szCs w:val="21"/>
                <w:highlight w:val="none"/>
              </w:rPr>
            </w:pPr>
          </w:p>
        </w:tc>
        <w:tc>
          <w:tcPr>
            <w:tcW w:w="1524" w:type="dxa"/>
            <w:gridSpan w:val="2"/>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牵引变电所标准化巡视作业</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全所标准化路线巡视</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巡视GIS高压柜</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巡视变压器</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巡视测控保护屏</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巡视电动隔离开关</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巡视电流互感器</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巡视电压互感器</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巡视断路器</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巡视交流盘</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巡视手动隔离开关</w:t>
            </w:r>
          </w:p>
          <w:p>
            <w:pPr>
              <w:pStyle w:val="11"/>
              <w:numPr>
                <w:ilvl w:val="0"/>
                <w:numId w:val="5"/>
              </w:numPr>
              <w:jc w:val="left"/>
              <w:rPr>
                <w:rFonts w:ascii="宋体" w:hAnsi="宋体" w:eastAsia="宋体" w:cs="宋体"/>
                <w:color w:val="auto"/>
                <w:highlight w:val="none"/>
              </w:rPr>
            </w:pPr>
            <w:r>
              <w:rPr>
                <w:rFonts w:hint="eastAsia" w:ascii="宋体" w:hAnsi="宋体" w:eastAsia="宋体" w:cs="宋体"/>
                <w:color w:val="auto"/>
                <w:highlight w:val="none"/>
              </w:rPr>
              <w:t>巡视充电馈线柜</w:t>
            </w:r>
          </w:p>
        </w:tc>
        <w:tc>
          <w:tcPr>
            <w:tcW w:w="698" w:type="dxa"/>
            <w:vMerge w:val="continue"/>
            <w:tcBorders>
              <w:left w:val="nil"/>
              <w:right w:val="single" w:color="auto" w:sz="4" w:space="0"/>
            </w:tcBorders>
            <w:noWrap w:val="0"/>
            <w:vAlign w:val="center"/>
          </w:tcPr>
          <w:p>
            <w:pPr>
              <w:pStyle w:val="11"/>
              <w:rPr>
                <w:rFonts w:ascii="宋体" w:hAnsi="宋体" w:eastAsia="宋体" w:cs="宋体"/>
                <w:color w:val="auto"/>
                <w:highlight w:val="none"/>
              </w:rPr>
            </w:pPr>
          </w:p>
        </w:tc>
        <w:tc>
          <w:tcPr>
            <w:tcW w:w="698" w:type="dxa"/>
            <w:tcBorders>
              <w:left w:val="nil"/>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9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szCs w:val="21"/>
                <w:highlight w:val="none"/>
              </w:rPr>
            </w:pPr>
          </w:p>
        </w:tc>
        <w:tc>
          <w:tcPr>
            <w:tcW w:w="1524" w:type="dxa"/>
            <w:gridSpan w:val="2"/>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牵引变电所测控保护回路接线考核</w:t>
            </w:r>
          </w:p>
        </w:tc>
        <w:tc>
          <w:tcPr>
            <w:tcW w:w="2015" w:type="dxa"/>
            <w:gridSpan w:val="2"/>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模拟断路器接线</w:t>
            </w:r>
          </w:p>
        </w:tc>
        <w:tc>
          <w:tcPr>
            <w:tcW w:w="4375" w:type="dxa"/>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绘图</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安装布线工艺</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职业素养</w:t>
            </w:r>
          </w:p>
        </w:tc>
        <w:tc>
          <w:tcPr>
            <w:tcW w:w="698" w:type="dxa"/>
            <w:vMerge w:val="continue"/>
            <w:tcBorders>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p>
        </w:tc>
        <w:tc>
          <w:tcPr>
            <w:tcW w:w="698" w:type="dxa"/>
            <w:tcBorders>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▲变电所三维仿真实训系统</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变电所三维仿真实训系统部署于学员终端，是本产品的重要组成部分，以武昌东牵引变电所为原型进行仿真，系统采用计算机建模技术和虚拟现实技术，构建出虚拟的三维数字化牵引变电所，包含控制室、高压室、工具室以及室外整个牵引变电所的全部设备，为学员提供一个真实的牵引变电所环境。</w:t>
            </w:r>
          </w:p>
          <w:p>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变电所三维仿真实训系统中，模拟对象涵盖：控制室、高压室、检修室、室外等，仿真对象的外观、形状、相对位置、布局与实际一致，所有的操作、发光、发声、报警、显示等仿真设备的功能、内容、动作方式、控制方式、操作方式等属性与实际一致，并且按照实际的逻辑关系实时响应，响应的方式及结果与实际相同，提供第三方检测</w:t>
            </w:r>
            <w:r>
              <w:rPr>
                <w:rFonts w:ascii="宋体" w:hAnsi="宋体" w:eastAsia="宋体" w:cs="宋体"/>
                <w:color w:val="auto"/>
                <w:highlight w:val="none"/>
              </w:rPr>
              <w:t>机构出具的</w:t>
            </w:r>
            <w:r>
              <w:rPr>
                <w:rFonts w:hint="eastAsia" w:ascii="宋体" w:hAnsi="宋体" w:eastAsia="宋体" w:cs="宋体"/>
                <w:color w:val="auto"/>
                <w:highlight w:val="none"/>
              </w:rPr>
              <w:t>检验报告证明（提供复印件，并标注检验项目所在页）</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★为确保技术可行性、成熟性且满足教学要求，投标人研究开发的面向铁路行业的三维GIS虚拟视景路网信息系统平台技术须通过行业</w:t>
            </w:r>
            <w:r>
              <w:rPr>
                <w:rFonts w:ascii="宋体" w:hAnsi="宋体" w:eastAsia="宋体" w:cs="宋体"/>
                <w:color w:val="auto"/>
                <w:highlight w:val="none"/>
              </w:rPr>
              <w:t>主管部门或</w:t>
            </w:r>
            <w:r>
              <w:rPr>
                <w:rFonts w:hint="eastAsia" w:ascii="宋体" w:hAnsi="宋体" w:eastAsia="宋体" w:cs="宋体"/>
                <w:color w:val="auto"/>
                <w:highlight w:val="none"/>
              </w:rPr>
              <w:t>鉴定</w:t>
            </w:r>
            <w:r>
              <w:rPr>
                <w:rFonts w:ascii="宋体" w:hAnsi="宋体" w:eastAsia="宋体" w:cs="宋体"/>
                <w:color w:val="auto"/>
                <w:highlight w:val="none"/>
              </w:rPr>
              <w:t>部门</w:t>
            </w:r>
            <w:r>
              <w:rPr>
                <w:rFonts w:hint="eastAsia" w:ascii="宋体" w:hAnsi="宋体" w:eastAsia="宋体" w:cs="宋体"/>
                <w:color w:val="auto"/>
                <w:highlight w:val="none"/>
              </w:rPr>
              <w:t>的鉴定并提供证明文件复印件。</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★为确保技术可行性、成熟性且满足教学要求，投标人研究开发的</w:t>
            </w:r>
            <w:r>
              <w:rPr>
                <w:rFonts w:hint="eastAsia" w:ascii="宋体" w:hAnsi="宋体" w:eastAsia="宋体" w:cs="宋体"/>
                <w:color w:val="auto"/>
                <w:highlight w:val="none"/>
                <w:lang w:bidi="ar"/>
              </w:rPr>
              <w:t>三维数字化虚拟仿真编辑器</w:t>
            </w:r>
            <w:r>
              <w:rPr>
                <w:rFonts w:hint="eastAsia" w:ascii="宋体" w:hAnsi="宋体" w:eastAsia="宋体" w:cs="宋体"/>
                <w:color w:val="auto"/>
                <w:highlight w:val="none"/>
              </w:rPr>
              <w:t>须通过行业</w:t>
            </w:r>
            <w:r>
              <w:rPr>
                <w:rFonts w:ascii="宋体" w:hAnsi="宋体" w:eastAsia="宋体" w:cs="宋体"/>
                <w:color w:val="auto"/>
                <w:highlight w:val="none"/>
              </w:rPr>
              <w:t>主管部门或</w:t>
            </w:r>
            <w:r>
              <w:rPr>
                <w:rFonts w:hint="eastAsia" w:ascii="宋体" w:hAnsi="宋体" w:eastAsia="宋体" w:cs="宋体"/>
                <w:color w:val="auto"/>
                <w:highlight w:val="none"/>
              </w:rPr>
              <w:t>鉴定</w:t>
            </w:r>
            <w:r>
              <w:rPr>
                <w:rFonts w:ascii="宋体" w:hAnsi="宋体" w:eastAsia="宋体" w:cs="宋体"/>
                <w:color w:val="auto"/>
                <w:highlight w:val="none"/>
              </w:rPr>
              <w:t>部门</w:t>
            </w:r>
            <w:r>
              <w:rPr>
                <w:rFonts w:hint="eastAsia" w:ascii="宋体" w:hAnsi="宋体" w:eastAsia="宋体" w:cs="宋体"/>
                <w:color w:val="auto"/>
                <w:highlight w:val="none"/>
              </w:rPr>
              <w:t>的鉴定并在投标文件中提供证明文件复印件，</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教员考评管理软件系统</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1"/>
              <w:jc w:val="left"/>
              <w:rPr>
                <w:rFonts w:ascii="宋体" w:hAnsi="宋体" w:eastAsia="宋体" w:cs="宋体"/>
                <w:color w:val="auto"/>
                <w:highlight w:val="none"/>
              </w:rPr>
            </w:pPr>
            <w:r>
              <w:rPr>
                <w:rFonts w:hint="eastAsia" w:ascii="宋体" w:hAnsi="宋体" w:eastAsia="宋体" w:cs="宋体"/>
                <w:color w:val="auto"/>
                <w:highlight w:val="none"/>
              </w:rPr>
              <w:t>考评管理软件系统是整个系统的一个重要组成部分，它承担着整套系统的全方位监管、控制和系统维护任务。从设备的运转前准备到实训结束后的数据处理、评价；从实训课程设计到试卷的下发，从基础数据准备到系统状态检测到任务下发等，均通过考评管理系统完成。</w:t>
            </w:r>
          </w:p>
          <w:p>
            <w:pPr>
              <w:pStyle w:val="11"/>
              <w:jc w:val="left"/>
              <w:rPr>
                <w:rFonts w:ascii="宋体" w:hAnsi="宋体" w:eastAsia="宋体" w:cs="宋体"/>
                <w:color w:val="auto"/>
                <w:highlight w:val="none"/>
              </w:rPr>
            </w:pPr>
            <w:r>
              <w:rPr>
                <w:rFonts w:hint="eastAsia" w:ascii="宋体" w:hAnsi="宋体" w:eastAsia="宋体" w:cs="宋体"/>
                <w:color w:val="auto"/>
                <w:highlight w:val="none"/>
              </w:rPr>
              <w:t>★教员管理软件能够实现对任务、课程的编辑，成绩的查看等。提供第三方检测</w:t>
            </w:r>
            <w:r>
              <w:rPr>
                <w:rFonts w:ascii="宋体" w:hAnsi="宋体" w:eastAsia="宋体" w:cs="宋体"/>
                <w:color w:val="auto"/>
                <w:highlight w:val="none"/>
              </w:rPr>
              <w:t>机构</w:t>
            </w:r>
            <w:r>
              <w:rPr>
                <w:rFonts w:hint="eastAsia" w:ascii="宋体" w:hAnsi="宋体" w:eastAsia="宋体" w:cs="宋体"/>
                <w:color w:val="auto"/>
                <w:highlight w:val="none"/>
              </w:rPr>
              <w:t>出具</w:t>
            </w:r>
            <w:r>
              <w:rPr>
                <w:rFonts w:ascii="宋体" w:hAnsi="宋体" w:eastAsia="宋体" w:cs="宋体"/>
                <w:color w:val="auto"/>
                <w:highlight w:val="none"/>
              </w:rPr>
              <w:t>的</w:t>
            </w:r>
            <w:r>
              <w:rPr>
                <w:rFonts w:hint="eastAsia" w:ascii="宋体" w:hAnsi="宋体" w:eastAsia="宋体" w:cs="宋体"/>
                <w:color w:val="auto"/>
                <w:highlight w:val="none"/>
              </w:rPr>
              <w:t>检验报告证明（提供复印件，并标注检验项目所在页。</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pStyle w:val="11"/>
              <w:rPr>
                <w:rFonts w:hint="eastAsia" w:ascii="宋体" w:hAnsi="宋体" w:eastAsia="宋体" w:cs="宋体"/>
                <w:color w:val="auto"/>
                <w:highlight w:val="none"/>
              </w:rPr>
            </w:pPr>
            <w:r>
              <w:rPr>
                <w:rFonts w:hint="eastAsia" w:ascii="宋体" w:hAnsi="宋体" w:eastAsia="宋体" w:cs="宋体"/>
                <w:color w:val="auto"/>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2415" w:type="dxa"/>
            <w:gridSpan w:val="3"/>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学生</w:t>
            </w:r>
            <w:r>
              <w:rPr>
                <w:rFonts w:hint="eastAsia" w:ascii="宋体" w:hAnsi="宋体" w:eastAsia="宋体" w:cs="宋体"/>
                <w:color w:val="auto"/>
                <w:highlight w:val="none"/>
                <w:lang w:eastAsia="zh-CN"/>
              </w:rPr>
              <w:t>使用平台</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6"/>
              <w:snapToGrid w:val="0"/>
              <w:spacing w:before="0" w:beforeLines="0" w:after="0" w:afterLines="0" w:line="240" w:lineRule="auto"/>
              <w:ind w:left="0" w:leftChars="0" w:firstLine="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1.基材：采用优质E1级三胺板，台面厚度25，甲醛释放量不超过5mg/100g。</w:t>
            </w:r>
          </w:p>
          <w:p>
            <w:pPr>
              <w:pStyle w:val="6"/>
              <w:snapToGrid w:val="0"/>
              <w:spacing w:before="0" w:beforeLines="0" w:after="0" w:afterLines="0" w:line="240" w:lineRule="auto"/>
              <w:ind w:left="0" w:leftChars="0" w:firstLine="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2.台面贴面：选用双贴三聚氰胺浸渍面纸饰面。</w:t>
            </w:r>
          </w:p>
          <w:p>
            <w:pPr>
              <w:pStyle w:val="6"/>
              <w:snapToGrid w:val="0"/>
              <w:spacing w:before="0" w:beforeLines="0" w:after="0" w:afterLines="0" w:line="240" w:lineRule="auto"/>
              <w:ind w:left="0" w:leftChars="0" w:firstLine="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3.封边：双色PVC封边、厚度不小于2mm。</w:t>
            </w:r>
          </w:p>
          <w:p>
            <w:pPr>
              <w:pStyle w:val="6"/>
              <w:snapToGrid w:val="0"/>
              <w:spacing w:before="0" w:beforeLines="0" w:after="0" w:afterLines="0" w:line="240" w:lineRule="auto"/>
              <w:ind w:left="0" w:leftChars="0" w:firstLine="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4.防腐等工艺处理，表面阿克苏静电粉末喷涂处理，连接配件用铝合金。</w:t>
            </w:r>
          </w:p>
          <w:p>
            <w:pPr>
              <w:pStyle w:val="6"/>
              <w:snapToGrid w:val="0"/>
              <w:spacing w:before="0" w:beforeLines="0" w:after="0" w:afterLines="0" w:line="240" w:lineRule="auto"/>
              <w:ind w:left="0" w:leftChars="0" w:firstLine="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5.单张参考尺寸800*400*750可拼接6人位组合。</w:t>
            </w:r>
          </w:p>
          <w:p>
            <w:pPr>
              <w:pStyle w:val="6"/>
              <w:snapToGrid w:val="0"/>
              <w:spacing w:before="0" w:beforeLines="0" w:after="0" w:afterLines="0" w:line="24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u w:val="none"/>
              </w:rPr>
              <w:t>6.配备6张网状靠背椅子。</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jc w:val="center"/>
              <w:textAlignment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教师</w:t>
            </w:r>
            <w:r>
              <w:rPr>
                <w:rFonts w:hint="eastAsia" w:ascii="宋体" w:hAnsi="宋体" w:eastAsia="宋体" w:cs="宋体"/>
                <w:color w:val="auto"/>
                <w:sz w:val="21"/>
                <w:szCs w:val="21"/>
                <w:highlight w:val="none"/>
                <w:u w:val="none"/>
                <w:lang w:eastAsia="zh-CN"/>
              </w:rPr>
              <w:t>使用平台</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规格：1100*780*1000</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产品描述及性能</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1.采用1.0MM-1.5MM优质冷轧钢板，经除油，酸洗，磷化，打磨，静电喷涂等工艺完成。表面喷涂均匀，光洁度好，塑面经久耐用。</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2.上柜体带有实木的可拆卸扶手和装饰板（即LOGO装饰板）整体设计符合人体工学，白灰色和木纹色双色彩合理搭配，精致优雅，美观大方，高度集成。</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3.所有设计均为圆角过度，溜平固化，重点部位采用一次冲压成型技术，避免直棱直角的尖锐性。</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整个讲台采用全封闭防盗设计结构，耐磨，防静电等。</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外形设计：采用上下分体式设计，方便运输。上盖门采用左侧单分拉式防尘结构，液晶显示器角度可根据需求自行调节。键盘可抽拉，台面右侧可用来放置笔记本电脑和教案等物品。展台可以放在侧面抽屉内，方便使用，节省空间。下柜体采用对开门设计，并留有主机方便小门，方便老师在不打开下柜时操作使用。讲台后检修门采用百叶窗门设计，通风散热。并配有十字芯锁，方便电脑主机的后面连线操作。</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6.为方便学校对讲台进行管理，可行装IC卡电子锁系统。</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7.支持中控，主机，DVD,功放音箱，展台等所有多媒体系统设备。</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8.讲台可选配配备漏电保护开关及防静电接地装置，老师使用更安全。</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9.讲台内带有固定线位孔，可对柜内所有设备线进行固定，使柜内线井然有序</w:t>
            </w:r>
          </w:p>
          <w:p>
            <w:pPr>
              <w:pStyle w:val="6"/>
              <w:snapToGrid w:val="0"/>
              <w:spacing w:before="0" w:beforeLines="0" w:after="0" w:afterLines="0"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10.配备1张网状靠背椅子。</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教师</w:t>
            </w:r>
            <w:r>
              <w:rPr>
                <w:rFonts w:hint="eastAsia" w:ascii="宋体" w:hAnsi="宋体" w:eastAsia="宋体" w:cs="宋体"/>
                <w:color w:val="auto"/>
                <w:sz w:val="21"/>
                <w:szCs w:val="21"/>
                <w:highlight w:val="none"/>
                <w:u w:val="none"/>
                <w:lang w:eastAsia="zh-CN"/>
              </w:rPr>
              <w:t>终端</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1、处理器：i7-10700； </w:t>
            </w:r>
          </w:p>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2、内存：8GB， 2 个 DIMM 插槽； </w:t>
            </w:r>
          </w:p>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3、硬盘： 1T+256G固态硬盘； </w:t>
            </w:r>
          </w:p>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4、显示器：21.5 寸，含键盘鼠标 </w:t>
            </w:r>
          </w:p>
          <w:p>
            <w:pPr>
              <w:widowControl/>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5、管理：win10系统，出厂自带 BIOS 版还原卡；</w:t>
            </w:r>
          </w:p>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6、显卡：2G 独立显卡</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ascii="宋体" w:hAnsi="宋体" w:eastAsia="宋体" w:cs="宋体"/>
                <w:color w:val="auto"/>
                <w:sz w:val="21"/>
                <w:szCs w:val="21"/>
                <w:highlight w:val="none"/>
              </w:rPr>
            </w:pPr>
            <w:r>
              <w:rPr>
                <w:rFonts w:hint="eastAsia" w:ascii="宋体" w:hAnsi="宋体" w:eastAsia="宋体" w:cs="宋体"/>
                <w:color w:val="auto"/>
                <w:highlight w:val="none"/>
                <w:u w:val="none"/>
              </w:rPr>
              <w:t>▲</w:t>
            </w:r>
            <w:r>
              <w:rPr>
                <w:rFonts w:hint="eastAsia" w:ascii="宋体" w:hAnsi="宋体" w:eastAsia="宋体" w:cs="宋体"/>
                <w:color w:val="auto"/>
                <w:sz w:val="21"/>
                <w:szCs w:val="21"/>
                <w:highlight w:val="none"/>
                <w:u w:val="none"/>
              </w:rPr>
              <w:t>86寸交互式一体机</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1.整机采用一体设计，外部无任何可见内部功能模块连接线。</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2.整机采用全金属外壳设计，边角采用弧形设计，表面无尖锐边缘或凸起。</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3.屏幕采用86英寸液晶显示器。</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4.整机采用UHD超高清LED 液晶屏，显示比例16:9，分辨率3840*2160。</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5.嵌入式系统版本不低于Android9.0，内存≥2GB，存储空间≥8GB。（</w:t>
            </w:r>
            <w:r>
              <w:rPr>
                <w:rFonts w:hint="eastAsia" w:ascii="宋体" w:hAnsi="宋体" w:eastAsia="宋体" w:cs="宋体"/>
                <w:color w:val="auto"/>
                <w:kern w:val="0"/>
                <w:szCs w:val="21"/>
                <w:highlight w:val="none"/>
                <w:lang w:eastAsia="zh-CN" w:bidi="ar"/>
              </w:rPr>
              <w:t>投标文件</w:t>
            </w:r>
            <w:r>
              <w:rPr>
                <w:rFonts w:hint="eastAsia" w:ascii="宋体" w:hAnsi="宋体" w:eastAsia="宋体" w:cs="宋体"/>
                <w:color w:val="auto"/>
                <w:kern w:val="0"/>
                <w:szCs w:val="21"/>
                <w:highlight w:val="none"/>
                <w:lang w:bidi="ar"/>
              </w:rPr>
              <w:t>中提供第三方检测机构出具的权威检测报告）</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6.玻璃厚度≤4mm，玻璃表面硬度≥9H。</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7.整机内置 2.1 声道扬声器，前朝向 15W中高音扬声器 2 个，后朝向 20W 低音扬声器 1 个，额定总功率 50W。</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8.支持传屏功能，可以将外部电脑的屏幕画面通过无线方式传输到整机上显示。（</w:t>
            </w:r>
            <w:r>
              <w:rPr>
                <w:rFonts w:hint="eastAsia" w:ascii="宋体" w:hAnsi="宋体" w:eastAsia="宋体" w:cs="宋体"/>
                <w:color w:val="auto"/>
                <w:kern w:val="0"/>
                <w:szCs w:val="21"/>
                <w:highlight w:val="none"/>
                <w:lang w:eastAsia="zh-CN" w:bidi="ar"/>
              </w:rPr>
              <w:t>投标文件</w:t>
            </w:r>
            <w:r>
              <w:rPr>
                <w:rFonts w:hint="eastAsia" w:ascii="宋体" w:hAnsi="宋体" w:eastAsia="宋体" w:cs="宋体"/>
                <w:color w:val="auto"/>
                <w:kern w:val="0"/>
                <w:szCs w:val="21"/>
                <w:highlight w:val="none"/>
                <w:lang w:bidi="ar"/>
              </w:rPr>
              <w:t>中提供第三方检测机构出具的权威检测报告）</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9.三合一电源按键，同一电源物理按键完成Android系统和Windows系统的开机、节能熄屏、关机操作；关机状态下轻按按键开机；开机状态下轻按按键实现节能熄屏/唤醒，长按按键实现关机。</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10.整机具备至少6个前置按键，实现老师开关机、调出中控菜单、音量+/-、护眼、录屏的操作。</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11.整机具有护眼功能，可通过前置面板物理功能按键一键启用护眼模式。</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12.设备支持通过前置面板物理按键一键启动录屏功能，可将屏幕中显示的课件、音频内容与老师人声同时录制。</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13.支持通道记忆功能，开机默认回到最近一次关机时的显示通道。</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14.整机内置非独立的高清摄像头，可拍摄不低于 800 万像素数的照片，摄像头对角角度≥120度。支持远程巡课应用。</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15.整机内置摄像头（非外扩），PC通道下支持通过视频展台软件调用摄像头进行二维码扫码识别。</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16.整机内置非独立外扩展的阵列麦克风，可用于对教室环境音频进行采集，拾音距离≥12米。</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17.内置摄像头、麦克风，无外接线材连接，无可见模块化拼接，未占用整机设备端口。</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18.外接电脑设备通过HDMI线投送画面至整机时，再连接TypeB USB线至整机触控输出接口，即可直接调用整机内置的摄像头、麦克风、扬声器，在外接电脑即可拍摄教室画面。</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支持前置Type-C接口，通过Type-C接口实现音视频输入，外接电脑设备通过标准TypeC线连接至整机TypeC口，即可把外接电脑设备画面投到整机上，同时在整机上操作画面，可实现触摸电脑的操作，无需再连接触控USB线。</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20.外接电脑设备通过机外TypeC线连接至整机Type-C口，可直接调用整机内置的摄像头、麦克风、扬声器，在外接电脑可拍摄教室画面。</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21.支持通道自动跳转功能，如整机处于正常使用状态，HDMI信号接入时，能自动识别并切换到对应的HDMI信号源通道，且断开后能回到上一通道，自动跳转前支持选择确认，待确认后再跳转。</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22.支持外接信号输入时自动唤醒功能，整机处于关机通电状态，外接电脑显示信号通过HDMI传输线连接至整机时，整机可智能识别外接电脑设备信号输入并自动开机。</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23.整机关机状态下，通过长按电源键进入设置界面后，可点击屏幕选择恢复整机系统及Windows操作系统到出厂默认状态，无需额外工具辅助。</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24.支持半屏模式，将Windows显示画面上半部分下拉到显示屏的下半部分显示，此时依然可以正常触控操作Windows系统；点击非Windows显示画面区域，即可退出该模式，无需其他设置。</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25.具备智能手势识别功能，在任意信号源通道下可识别五指上、下、左、右方向手势滑动并调用响应功能，支持将各手势滑动方向自定义设置为无操作、熄屏、批注、桌面、半屏模式。</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26.整机内置专业硬件自检维护工具（不接受第三方工具），支持对触摸框、PC模块等模块进行检测，针对不同模块给出问题原因提示。（投标文件中提供第三方检测机构出具的检测报告证明）</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27.整机视网膜蓝光危害（蓝光加权辐射亮度LB）符合IEC62471标准，LB限值范围≤0.55（蓝光危害最大状况下）。</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28.前置 USB 接口具备防撞挡板设计，防撞挡板采用转轴式翻转。</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29.内置蓝牙模块，能连接外部蓝牙音箱播放音频，也能接收外部手机通过蓝牙发送的文件。蓝牙支持 Bluetooth 4.2 标准。内置蓝牙模块工作距离不低于12米。</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30.支持标准、HDR、节能图像模式调节。</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31.支持同一支红外笔笔头、笔尾书写不同的颜色，且颜色可自定义。</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32.采用钢化玻璃，有效保护屏幕显示画面。</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33.玻璃表面采用纳米材料镀膜环保工艺，书写更加顺滑，防眩光效果更加优异。</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34.机身具备防盐雾锈蚀特性，且满足GB4943.1-2011标准中的防火要求。</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35.整机具备抗振动、防跌落特性，保证整机运输或使用过程中不易受损。</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36.整机在0℃- 40℃环境下可正常工作，在-20℃—60℃的环境下可正常贮存且贮存后功能无损。</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37.具备电视遥控功能和电脑键盘常用的F1—F12功能键及Alt+F4、Alt+Tab、Space、Enter、windows等快捷按键，可实现一键开启交互白板软件、PPT上下翻页、一键锁定/解锁触摸及整机实体按键、一键熄屏的功能。</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38.支持通过Type-C接口U盘进行文件传输，兼容手机充电。</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39.屏幕显示灰度分辨等级达到256级以上灰阶。</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40.整机在五分钟内处于无信号接收状态时，能够自动关机。</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41.内置触摸中控菜单，将信号源通道切换、护眼、声音调节等整合到同一菜单下，无须实体按键，在任意显示通道下均可通过手势在屏幕上调取该触摸菜单。</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42.整机在任意通道的侧拉栏批注模式下，支持通过手势识别调出板擦工具擦除批注内容，可根据手与屏幕的接触面积自动调整板擦工具的大小。</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43.触摸屏在照度100k lux 环境下仍能正常工作。</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44.触摸分辨率32768×32768。触摸响应时间≤4ms。触摸最小识别物≤3mm。整机屏幕触摸有效识别高度不超过3.5mm,，即触摸物体距离玻璃外表面高度不超过3.5mm时，触摸屏识别为点击操作。 </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45.触摸屏具有防遮挡功能，触摸接收器在单点或多点遮挡后仍能正常书写。</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46.Windows XP、Windows 7、Windows 8、Windows 8.1、 Windows 10、Linux、Mac Os系统外置电脑操作系统接入时，无需安装触摸框驱动。</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47.嵌入式Android操作系统下，互动白板支持不同背景颜色，同时提供学科专用背景，如：五线谱、信纸、田字格、英文格、篮球和足球场地平面图。</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48.无PC状态下，嵌入式系统内置互动白板支持十笔书写及手掌擦除（手掌擦除面积根据手掌与屏幕的接触面大小自动调整），白板书写内容可导出PDF、IWB、SVG等格式。支持10种以上平面图形工具，支持8种以上立体图形工具。</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49.无PC状态下，嵌入式系统内置互动白板支持全局漫游，并能在工具栏中对全局内容进行预览和移动</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50.无PC状态下，嵌入式Android操作系统下可实现windows系统中常用的教学应用功能，如白板书写、WPS软件使用、网页浏览。（投标文件中提供第三检方测机构出具的检测报告证明）</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51.在嵌入式Android操作系统下，能对TV多媒体USB所读取到的文件进行自动归类，可快速分类查找文档、板书、图片、音视频，检索后可直接在界面中打开。</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52.电脑模块</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53.主板南桥采用H310芯片组，搭载Intel 酷睿系列 i5 CPU</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54.内存：8GB DDR4笔记本内存或以上配置。</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55.硬盘：256GB或以上SSD固态硬盘</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56.机身采用热浸镀锌金属材质，采用智能风扇低噪音散热设计,模块主体尺寸不小于22cm*17cm*3cm以预留足够散热空间，确保封闭空间内有效散热。</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57.PC模块可抽拉式插入整机，可实现无单独接线的插拔。</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58.和整机的连接采用万兆级接口，传输速率≥10Gbps。（投标文件中提供第三方检测机构出具的检测报告证明）</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59.采用按压式卡扣，无需工具就可快速拆卸电脑模块。（投标文件中提供第三方检测机构出具的检测报告证明）</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60.具有独立非外扩展的视频输出接口：≥1路HDMI 。</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61.具有独立非外扩展的电脑USB接口：≥3路USB。</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62.具有标准PC防盗锁孔。</w:t>
            </w:r>
          </w:p>
          <w:p>
            <w:pPr>
              <w:widowControl/>
              <w:jc w:val="left"/>
              <w:rPr>
                <w:rFonts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63.PC模块的USB接口须为冗余备份接口，在正常使用整机的内置摄像头、内置麦克风功能时，USB接口不被占用，确保教师有足够的接口外接存储设备及显示设备</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2415" w:type="dxa"/>
            <w:gridSpan w:val="3"/>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无线传屏器</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1.采用USB端口进行传输，可兼容市面上具备通用USB端子的各类电脑。（提供第三方检测中心所出具的权威检测报告）</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2.采用单按键设计，只需按一下即可传屏，无需在智能平板上做任何操作。（提供第三方检测中心所出具的权威检测报告）</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3.通过数字信号传输，信号更稳定，抗干扰性强</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4.传输分辨率：支持1920*1080@30Hz</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5.传屏器功耗：不超过2.5W</w:t>
            </w:r>
          </w:p>
          <w:p>
            <w:pPr>
              <w:widowControl/>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6.电脑免驱，无需额外安装驱动，连接上即可使用。</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2415" w:type="dxa"/>
            <w:gridSpan w:val="3"/>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实验操作台</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1.基材：采用优质E1级三胺板，台面厚度25，甲醛释放量不超过5mg/100g。</w:t>
            </w:r>
          </w:p>
          <w:p>
            <w:pPr>
              <w:widowControl/>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2.台面贴面：选用双贴三聚氰胺浸渍面纸饰面。</w:t>
            </w:r>
          </w:p>
          <w:p>
            <w:pPr>
              <w:widowControl/>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3.封边：双色PVC封边、厚度不小于2mm。</w:t>
            </w:r>
          </w:p>
          <w:p>
            <w:pPr>
              <w:widowControl/>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4.防腐等工艺处理，表面阿克苏静电粉末喷涂处理，连接配件用铝合金。</w:t>
            </w:r>
          </w:p>
          <w:p>
            <w:pPr>
              <w:widowControl/>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bidi="ar"/>
              </w:rPr>
              <w:t>5.尺寸：2000*700*800</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3套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装饰装修</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r>
              <w:rPr>
                <w:rFonts w:hint="eastAsia" w:ascii="宋体" w:hAnsi="宋体" w:eastAsia="宋体" w:cs="宋体"/>
                <w:color w:val="auto"/>
                <w:kern w:val="0"/>
                <w:szCs w:val="21"/>
                <w:highlight w:val="none"/>
                <w:lang w:val="en-US" w:eastAsia="zh-CN" w:bidi="ar"/>
              </w:rPr>
              <w:t>教室面积88平，简单装修，综合布线；</w:t>
            </w:r>
          </w:p>
          <w:p>
            <w:pPr>
              <w:widowControl/>
              <w:ind w:firstLine="210" w:firstLineChars="1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（1）现有教室装修拆除，墙面粉刷、乳胶漆；</w:t>
            </w:r>
          </w:p>
          <w:p>
            <w:pPr>
              <w:widowControl/>
              <w:ind w:firstLine="210" w:firstLineChars="1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 综合布线：</w:t>
            </w:r>
          </w:p>
          <w:p>
            <w:pPr>
              <w:widowControl/>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强电：电路设计：主路需使用BV4.0以上线径，支路电线需使用BV2.5以上线径，照明线为BV1.5以上线径，插座线为2.5以上线径。线材所有电线应按JB/T 5023-2008生产标准执行，线芯使用高精度无氧铜，外面为PC阻燃低烟绝缘层，厚度不低于0.8mm。所有插座回路需有三根不同颜色电线构成，便于标记及维修，照明线路需单独一个回来，禁止就近拉扯。</w:t>
            </w:r>
          </w:p>
          <w:p>
            <w:pPr>
              <w:widowControl/>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弱电：网线：符合TIA/EIA 568B 2六类屏蔽标准；线规：23AWG，外径6.5±0.2mm；无铅外皮，护套为常用PVC或阻燃PVC护套，含十字芯分隔材料；双铝铂屏蔽层。3个无线路由</w:t>
            </w:r>
            <w:r>
              <w:rPr>
                <w:rFonts w:hint="eastAsia" w:ascii="宋体" w:hAnsi="宋体" w:cs="宋体"/>
                <w:color w:val="auto"/>
                <w:kern w:val="0"/>
                <w:szCs w:val="21"/>
                <w:highlight w:val="none"/>
                <w:lang w:val="en-US" w:eastAsia="zh-CN" w:bidi="ar"/>
              </w:rPr>
              <w:t>。</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1批</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u w:val="none"/>
              </w:rPr>
              <w:t>▲</w:t>
            </w:r>
            <w:r>
              <w:rPr>
                <w:rStyle w:val="12"/>
                <w:rFonts w:hint="eastAsia" w:ascii="宋体" w:hAnsi="宋体" w:eastAsia="宋体" w:cs="宋体"/>
                <w:color w:val="auto"/>
                <w:sz w:val="21"/>
                <w:szCs w:val="21"/>
                <w:highlight w:val="none"/>
                <w:lang w:bidi="ar"/>
              </w:rPr>
              <w:t>人工智能机器人开发套件（智能小车）</w:t>
            </w:r>
          </w:p>
        </w:tc>
        <w:tc>
          <w:tcPr>
            <w:tcW w:w="6390" w:type="dxa"/>
            <w:gridSpan w:val="3"/>
            <w:tcBorders>
              <w:top w:val="single" w:color="auto" w:sz="4" w:space="0"/>
              <w:left w:val="nil"/>
              <w:bottom w:val="single" w:color="auto" w:sz="4" w:space="0"/>
              <w:right w:val="single" w:color="auto" w:sz="4" w:space="0"/>
            </w:tcBorders>
            <w:noWrap w:val="0"/>
            <w:vAlign w:val="center"/>
          </w:tcPr>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系统整体要求人工智能机器人开发套件结合了机械、电子、传感器、计算机软硬件、机器人操作系统、人工智能等众多的先进技术。</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金属结构件能够轻易完成机械结构搭建，配合高性能的微处理器，多种常用传感器，若干电机及舵机，方便验证机器人结构的运动特性、微处理器及机器人操作系统等方面的实验。</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能够结合人工智能让机器人更加智能，基于TensorFlow框架开发完成训练模型、调试参数、打包模型一系列人工智能开发流程。</w:t>
            </w:r>
          </w:p>
          <w:p>
            <w:pPr>
              <w:pStyle w:val="13"/>
              <w:snapToGrid w:val="0"/>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一、硬件要求</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1、铝合金板件1套：通过16块的钣金件能够组装车模。</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2、直流减速电机4台；</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3、格氏3S/25C/1300mA动力锂电池2个；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4、3S锂电池平衡充1个；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5、12V/2A电源适配器1个；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6、全向车驱动模组1套；</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7、Cortex-M4核心板</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主控芯片：STM32F407；具有USB转串口；RGB三色LED；电机控制、正交码盘、舵机控制、定时器扩展、GPIO等扩展端口；</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8、ST-LINK V2仿真器1个；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9、DEBUG仿真接口转接板1块；</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10、传感器功能板</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具有OLED显示：128*64，SPI接口；ESP-32S单元：蓝牙+Wi-Fi双模；5路用户按键单元；MPU6050六轴传感单元；HMC5883L三轴电子罗盘单元； </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11、人工智能运算单元主板</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处理器1.4GHz四核ARM Cortex-A53；内存1GB；千兆以太网卡；无线网卡1个；低功耗蓝牙4.2（BLE）1个；HDMI接口1路；USB2.0接口4路；3.5mm音频输出接口1个；GPIO接口40PIN；CSI摄像头接口1个；DSI显示接口1个。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12、ROS运算单元主板</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采用树莓派3B+：处理器1.4GHz四核ARM Cortex-A53；内存1GB；千兆以太网卡；无线网卡1个；低功耗蓝牙4.2（BLE）1个；HDMI接口1路；USB2.0接口4路；3.5mm音频输出接口1个；GPIO接口40PIN；CSI摄像头接口1个；DSI显示接口1个。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13、工业级USB免驱摄像头2个；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24位图像色彩，MJPEG图像下：输出分辨率1920*1080时31帧成像，输出分辨率1280*720时60帧成像，输出分辨率800*600时60帧成像，输出分辨率640*480时120帧成像，120°广角无畸变；</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14、360度激光雷达1个；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测量范围≥12米半径；至少具有360度扫描测距；测量频率≥8000次/秒；至少具有2-10Hz可配置的扫描频率，具有光磁融合；即插即用，且必须配备串口和USB接口；</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15、3英寸麦克纳姆轮4个；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碳钢一体成型轮毂；深沟轴承(国产)；钢板表面镀镍；</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16、摄像头转向舵机1个，转动角度≥180度；</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17、7寸HDMI显示器1套；</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分辨率≥1024*600；至少一路USB触摸接口；至少一路HDMI显示接口；</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18、嵌入式AI控制单元</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Cortex-M3内核的STM32F103系列处理器，最高主频72MHz，LQFP64封装，具有64KB的RAM和512KB的FLASH。</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主要用于工业机械臂控制；至少一路WiFi通信模块：ESP8266-12F；至少一路SWD仿真器接口；拥有蜂鸣器、RGB彩灯；预留扩展端口；</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19、工业机械臂</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带反馈的可编程机械手臂，包含 6 个高寿命串行总线舵机，每个舵机可以反馈位置、电压、温度等数据； PS2手柄</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串行通信，至少可实现按键控制以及摇杆控制。</w:t>
            </w:r>
          </w:p>
          <w:p>
            <w:pPr>
              <w:pStyle w:val="13"/>
              <w:snapToGrid w:val="0"/>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二、软件资源</w:t>
            </w:r>
          </w:p>
          <w:p>
            <w:pPr>
              <w:pStyle w:val="13"/>
              <w:numPr>
                <w:ilvl w:val="0"/>
                <w:numId w:val="6"/>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提供智能车控制系统软件，内容包含：</w:t>
            </w:r>
          </w:p>
          <w:p>
            <w:pPr>
              <w:pStyle w:val="13"/>
              <w:numPr>
                <w:ilvl w:val="0"/>
                <w:numId w:val="7"/>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STM32主控部分</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提供QMC5883L驱动实验、MPU6050驱动实验、MPU6050内部DMP固件移植解析、ESP-32S Wi-Fi透传实验等实验，实验数量≥18个，投标时提供详细实验清单；</w:t>
            </w:r>
          </w:p>
          <w:p>
            <w:pPr>
              <w:pStyle w:val="13"/>
              <w:numPr>
                <w:ilvl w:val="0"/>
                <w:numId w:val="7"/>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ROS部分：</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机器人建模与仿真—urdf/xacro；如何实现Gazebo仿真；工具介绍及简单使用演示；添加摄像头功能包；添加雷达功能包；实现与stm32的通信；action使用；按键控制；视觉识别；雷达数据避障等实验，实验数量≥22个，投标时提供详细实验清单；</w:t>
            </w:r>
          </w:p>
          <w:p>
            <w:pPr>
              <w:pStyle w:val="13"/>
              <w:numPr>
                <w:ilvl w:val="0"/>
                <w:numId w:val="6"/>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提供人工智能实验系统软件，内容包含：</w:t>
            </w:r>
          </w:p>
          <w:p>
            <w:pPr>
              <w:pStyle w:val="13"/>
              <w:numPr>
                <w:ilvl w:val="0"/>
                <w:numId w:val="8"/>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人工智能基础实验，实验数量≥6个，投标时提供详细实验清单； </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2）基本处理算法模型实验：至少包括机器学习中分类问题、回归预测问题两类问题的算法实验，实验数量≥3个，投标时提供详细实验清单；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3）神经网络算法实验：至少包括基于前馈人工神经、基于闭合回路的递归神经、基于反向传播算法进行空间表征的压缩重构的网络模型算法实验，实验数量≥5个，投标时提供详细实验清单；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4）TensorFlow实用技术实验：至少包括对训练出来的模型进行保存和恢复以进行新的预测，TensorFlow中Graph的可视化以及训练过程中loss的可视化实验，投标时提供详细实验清单；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5）高级框架TFlearn实验：至少提供包括基于Fine-tuning实现对原模型的微调以及大型数据集的处理方案算法实验，且实验数量≥5个，投标时提供详细实验清单；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6）TFlearn视觉网络：提供基于TFlearn计算机视觉处理处理网络算法实验，实验数量≥6个，投标时提供详细实验清单；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7）基于百度AI开放平台的人工智能图像识别实验，实验数量≥5个，投标时提供详细实验清单；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8）基于百度AI开放平台的人工智能语音识别实验；</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9）基于百度AI开放平台的人工智能人脸识别实验：提供至少包括人脸检测、人脸识别、改进返回值实验，实验数量≥4个，投标时提供详细实验清单；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人工智能应用实验：提供可以离线训练并识别的人工智能应用实验源码，至少包括OpenCV图像采集以及处理、手写数字识别、车牌识别、目标检测、人脸识别、语音识别应用实验算法实验，实验数量≥7个，投标时提供详细实验清单。</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1、机器人地图构建</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在硬件上采用激光雷达和带码盘的直流减速电机来分别提供深度信息和里程计信息，利用ros中开源项目gmapping功能包，通过仿真软件rviz，实现室内slam地图构建。</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2、Navigation自动导航</w:t>
            </w:r>
          </w:p>
          <w:p>
            <w:pPr>
              <w:pStyle w:val="14"/>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在已经构建完成的地图上，利用开源项目amcl定位功能包和move_base功能包，并采集雷达和里程计信息，使用仿真软件rviz，实现机器人的自动避障导航。</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3、机器人手势识别</w:t>
            </w:r>
          </w:p>
          <w:p>
            <w:pPr>
              <w:pStyle w:val="14"/>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通过图像处理识别不同的手势。</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4、机器人目标跟踪</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选择跟踪区域，ROS机器人或者机械臂会对选择的目标进行实时跟踪，并可以查看目标在摄像头所在范围的区域。</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5、智能音响机器人控制</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麦克风阵列完成语音采集，将采集到的语音进行识别，并在识别完成对其识别到的文字信息进行提取，找到需要匹配的技能之后，一方面，对该技能进行控制下发，另一方面，将需要应对的文字进行语音合成，合成后播放，完成应答。</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6、遥控化机器人</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通过PS2手柄完成对ROS机器人以及机械臂的控制，包括ROS机器人基于麦克纳姆轮在平面上的360度运动，以及机械臂的运动抓取控制等等。</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7、实时跟踪全倾斜摄像机平台</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通过摄像头捕获拍摄场景，用户选择HSV颜色区间，可以对某物体进行颜色背景分割，运算器可对该物体进行位置标注并控制机械臂对其进行跟踪，使其一直保持处于摄像头捕获场景的正中心。</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8、博物馆引导机器人</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可在博物馆或者会场进行引导导航，在博物馆中，可设置A、B、C三个展柜的坐标系，该坐标系的原点是固定的，为机器人出发点。在用户选择去哪个展柜进行参观后（三个展柜可同时选择或者只选择某些展柜，并且顺序可调换），有两种方式对用户进行引导：</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定距离方式，该方式相对比较简单，只作为学生学习坐标系变换和机器人传感器数据处理时使用，该方式可通过笛卡尔坐标系与极坐标系的转换，不通过地图构建与导航的方式直接与传感器数据进行交互，实现引导作用。</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2）、定点方式：该方式需要对博物馆或者会场的地图进行构建，构建后选择要参观的展柜，机器人会根据构建好的地图与自身的坐标实现引导作用。</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机器人在引导过程中会实现语音播报，提示用户到达某个点或者要前往什么地点。播报内容可修改以使用不同的场景，在引导完毕后，机器人会返回出发点等待下次引导。</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9、餐厅送餐机器人</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可在餐厅中实现机器人送餐，该项目将AI+ROS+机械臂结合起来，以厨房为第一视角，在完成食物制作后，将食物放到机器人上，机器人会根据食物上的餐桌二维码判断送达地点，并可通过两种方式对食物进行配送：</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1）、定距离的方式：该方式通过运算器与传感器的数据交互与处理，实现食物配送。</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2）、定点方式：该方式可提前构建餐厅地图，在判断到达地点后完成自动导航的食物配送。</w:t>
            </w:r>
          </w:p>
          <w:p>
            <w:pPr>
              <w:pStyle w:val="13"/>
              <w:snapToGrid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配送到达后，机械臂会从机器人上将食物取下，并进行语音提示，语音可修改以适配不同场景，在语音提示后，机器人会返回厨房等待下次配送。</w:t>
            </w:r>
          </w:p>
          <w:p>
            <w:pPr>
              <w:pStyle w:val="13"/>
              <w:snapToGrid w:val="0"/>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四、其它</w:t>
            </w:r>
          </w:p>
          <w:p>
            <w:pPr>
              <w:pStyle w:val="13"/>
              <w:numPr>
                <w:ilvl w:val="0"/>
                <w:numId w:val="9"/>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辅助老师课程建设，制造商需有丰富的线上线下培训经验，有能力提供至少4个月嵌入式人工智能的线下正规培训名额；能够提供在线课程账号至少2个，每个账号应不少于100学时；（投标文件中提供在线课程网址，并提供截图证明）</w:t>
            </w:r>
          </w:p>
          <w:p>
            <w:pPr>
              <w:pStyle w:val="13"/>
              <w:numPr>
                <w:ilvl w:val="0"/>
                <w:numId w:val="9"/>
              </w:numPr>
              <w:snapToGrid w:val="0"/>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制造商需有良好的产品研发质量体系保障。</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3套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2415" w:type="dxa"/>
            <w:gridSpan w:val="3"/>
            <w:tcBorders>
              <w:top w:val="single" w:color="auto" w:sz="4" w:space="0"/>
              <w:left w:val="nil"/>
              <w:bottom w:val="single" w:color="auto" w:sz="4" w:space="0"/>
              <w:right w:val="single" w:color="auto" w:sz="4" w:space="0"/>
            </w:tcBorders>
            <w:noWrap w:val="0"/>
            <w:vAlign w:val="center"/>
          </w:tcPr>
          <w:p>
            <w:pPr>
              <w:pStyle w:val="6"/>
              <w:snapToGrid w:val="0"/>
              <w:spacing w:line="24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便携式控制终端</w:t>
            </w:r>
          </w:p>
        </w:tc>
        <w:tc>
          <w:tcPr>
            <w:tcW w:w="6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1、处理器：</w:t>
            </w:r>
            <w:r>
              <w:rPr>
                <w:rFonts w:hint="eastAsia" w:ascii="宋体" w:hAnsi="宋体" w:eastAsia="宋体" w:cs="宋体"/>
                <w:color w:val="auto"/>
                <w:szCs w:val="21"/>
                <w:highlight w:val="none"/>
              </w:rPr>
              <w:t>i5-1135G7</w:t>
            </w:r>
            <w:r>
              <w:rPr>
                <w:rFonts w:hint="eastAsia" w:ascii="宋体" w:hAnsi="宋体" w:eastAsia="宋体" w:cs="宋体"/>
                <w:color w:val="auto"/>
                <w:kern w:val="0"/>
                <w:szCs w:val="21"/>
                <w:highlight w:val="none"/>
                <w:lang w:bidi="ar"/>
              </w:rPr>
              <w:t xml:space="preserve">； </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2、内存：16GB； </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3、硬盘： 512G硬盘； </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4、显示器：14英寸 </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5、管理：</w:t>
            </w:r>
            <w:r>
              <w:rPr>
                <w:rFonts w:hint="eastAsia" w:ascii="宋体" w:hAnsi="宋体" w:eastAsia="宋体" w:cs="宋体"/>
                <w:color w:val="auto"/>
                <w:szCs w:val="21"/>
                <w:highlight w:val="none"/>
              </w:rPr>
              <w:t>高色域，指纹识别，</w:t>
            </w:r>
            <w:r>
              <w:rPr>
                <w:rFonts w:hint="eastAsia" w:ascii="宋体" w:hAnsi="宋体" w:eastAsia="宋体" w:cs="宋体"/>
                <w:color w:val="auto"/>
                <w:kern w:val="0"/>
                <w:szCs w:val="21"/>
                <w:highlight w:val="none"/>
                <w:lang w:bidi="ar"/>
              </w:rPr>
              <w:t>win10系统，出厂自带 BIOS 版还原卡；</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6、显卡：</w:t>
            </w:r>
            <w:r>
              <w:rPr>
                <w:rFonts w:hint="eastAsia" w:ascii="宋体" w:hAnsi="宋体" w:eastAsia="宋体" w:cs="宋体"/>
                <w:color w:val="auto"/>
                <w:szCs w:val="21"/>
                <w:highlight w:val="none"/>
              </w:rPr>
              <w:t xml:space="preserve">MX450 </w:t>
            </w:r>
            <w:r>
              <w:rPr>
                <w:rFonts w:hint="eastAsia" w:ascii="宋体" w:hAnsi="宋体" w:eastAsia="宋体" w:cs="宋体"/>
                <w:color w:val="auto"/>
                <w:kern w:val="0"/>
                <w:szCs w:val="21"/>
                <w:highlight w:val="none"/>
                <w:lang w:bidi="ar"/>
              </w:rPr>
              <w:t>2G 独立显卡；</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4台</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00"/>
              </w:tabs>
              <w:spacing w:before="12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2415" w:type="dxa"/>
            <w:gridSpan w:val="3"/>
            <w:tcBorders>
              <w:top w:val="single" w:color="auto" w:sz="4" w:space="0"/>
              <w:left w:val="nil"/>
              <w:bottom w:val="single" w:color="auto" w:sz="4" w:space="0"/>
              <w:right w:val="single" w:color="auto" w:sz="4" w:space="0"/>
            </w:tcBorders>
            <w:noWrap w:val="0"/>
            <w:vAlign w:val="center"/>
          </w:tcPr>
          <w:p>
            <w:pPr>
              <w:tabs>
                <w:tab w:val="center" w:pos="1099"/>
              </w:tabs>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可编程控制器</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可编程控制器实验系统</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50套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性能不低于KTP700 Basic PN 7寸液晶显示，65536色，PROFINET通讯接口，带8个按键，用户内存为10MB，带一个USB接口，报警数量1000个，报警类别为32个，支持画面100张，变量800个，支持配方和归档处理；</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触摸屏组件</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采用MCGS TPC7062Ti触摸屏,以先进的Cortex-A8 CPU为核心,主频600MHz,7英寸高亮度TFT液晶显示屏（分辨率800×480）支持RS485和以太网通讯。</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变频器组件</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输入电压AC220V 0.37KW工业变频器，集成4路数字量输入，2路模拟量输入,支持RS485通讯，集成操作面板。配WDJ26三相电动机，输入电压AC380V</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伺服驱动组件</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伺服驱动用于控制丝杆运动，选用交流伺服驱动，工作电压AC220V，输出功率200W。采用数字信号处理器（DSP）作为控制核心，智能功率模块（IPM）内部集成了驱动电路,同时具有过电压、过电流、过热、欠压等故障检测保护电路，具有较强的温度、湿度、振动等环境适应能力和很强的抗干扰的能力；支持位置、速度和力矩三种方式伺服马达进行控制。</w:t>
            </w:r>
          </w:p>
          <w:p>
            <w:pPr>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（2）丝杆有效行程200mm，丝杆直径12mm。丝杆导程4mm。</w:t>
            </w:r>
          </w:p>
          <w:p>
            <w:pPr>
              <w:spacing w:before="163" w:after="16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（3）配置3个光电接近传感器。DC24V供电，NPN输出。（4）左右限位配置2个行程开关作为保护。</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可编程控制器</w:t>
            </w:r>
            <w:r>
              <w:rPr>
                <w:rFonts w:hint="eastAsia" w:ascii="宋体" w:hAnsi="宋体" w:eastAsia="宋体" w:cs="宋体"/>
                <w:color w:val="auto"/>
                <w:szCs w:val="21"/>
                <w:highlight w:val="none"/>
                <w:lang w:eastAsia="zh-CN"/>
              </w:rPr>
              <w:t>控制终端</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主机CPU I5以上，主频不低于3.2GHz，ROM内存不低于8G ,最好带独显，显卡内存不低于2G，操作系统WIN10 64位。</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25套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44</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可调直流稳压电源</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0~60DCV,0~10A</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PLC仿真实训竞赛系统</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控制系统：</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1、1套可编程控制器；.工程组态软件（含授权）</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2、1套 Profibus主站模块</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3、1套 Profibus从站模块；主体设备：1台嵌入式工业计算机；1台液晶显示器，1个鼠标，1个键盘；1个通讯转换模块，支持RS485现场总线通讯；1台标准控制屏（台式），H600*W600*D300，含成套集成电气元器件。</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虚拟仿真软件：</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1、1套虚拟仿真软件；2、高精度的多电梯逻辑控制数学模型，能够任意配置呼叫乘客，以及配置可以考察控制效果的评分规则；3、完整的多电梯运行工况模拟；</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4、与控制器构成硬件在回路仿真。</w:t>
            </w:r>
          </w:p>
          <w:p>
            <w:pPr>
              <w:spacing w:before="163" w:after="163"/>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5、支持Profibus-DP、工业以太网以及OPC通信方式。</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textAlignment w:val="center"/>
              <w:rPr>
                <w:rFonts w:hint="eastAsia" w:ascii="宋体" w:hAnsi="宋体" w:eastAsia="宋体" w:cs="宋体"/>
                <w:color w:val="auto"/>
                <w:highlight w:val="none"/>
              </w:rPr>
            </w:pPr>
            <w:r>
              <w:rPr>
                <w:rFonts w:hint="eastAsia" w:ascii="宋体" w:hAnsi="宋体" w:eastAsia="宋体" w:cs="宋体"/>
                <w:color w:val="auto"/>
                <w:highlight w:val="none"/>
              </w:rPr>
              <w:t>46</w:t>
            </w:r>
          </w:p>
        </w:tc>
        <w:tc>
          <w:tcPr>
            <w:tcW w:w="2415" w:type="dxa"/>
            <w:gridSpan w:val="3"/>
            <w:tcBorders>
              <w:top w:val="single" w:color="auto" w:sz="4" w:space="0"/>
              <w:left w:val="nil"/>
              <w:bottom w:val="single" w:color="auto" w:sz="4" w:space="0"/>
              <w:right w:val="single" w:color="auto" w:sz="4" w:space="0"/>
            </w:tcBorders>
            <w:noWrap w:val="0"/>
            <w:vAlign w:val="center"/>
          </w:tcPr>
          <w:p>
            <w:pPr>
              <w:spacing w:before="163" w:after="16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控制小车</w:t>
            </w:r>
          </w:p>
        </w:tc>
        <w:tc>
          <w:tcPr>
            <w:tcW w:w="6390" w:type="dxa"/>
            <w:gridSpan w:val="3"/>
            <w:tcBorders>
              <w:top w:val="single" w:color="auto" w:sz="4" w:space="0"/>
              <w:left w:val="nil"/>
              <w:bottom w:val="single" w:color="auto" w:sz="4" w:space="0"/>
              <w:right w:val="single" w:color="auto" w:sz="4" w:space="0"/>
            </w:tcBorders>
            <w:noWrap w:val="0"/>
            <w:vAlign w:val="center"/>
          </w:tcPr>
          <w:p>
            <w:pPr>
              <w:spacing w:before="163" w:after="163"/>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供电：DC12V；</w:t>
            </w:r>
          </w:p>
          <w:p>
            <w:pPr>
              <w:spacing w:before="163" w:after="163"/>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带编码器信号电机控制接口：4个；舵机控制接口：6个；</w:t>
            </w:r>
          </w:p>
          <w:p>
            <w:pPr>
              <w:spacing w:before="163" w:after="163"/>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光电传感器接口：1个；</w:t>
            </w:r>
          </w:p>
          <w:p>
            <w:pPr>
              <w:spacing w:before="163" w:after="163"/>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激光扫描/二维码扫码接口：1个；与口袋机通信接口IDC34 x 2；尺寸：134mm x 92mm。</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1个</w:t>
            </w:r>
          </w:p>
        </w:tc>
        <w:tc>
          <w:tcPr>
            <w:tcW w:w="698" w:type="dxa"/>
            <w:tcBorders>
              <w:top w:val="single" w:color="auto" w:sz="4" w:space="0"/>
              <w:left w:val="nil"/>
              <w:bottom w:val="single" w:color="auto" w:sz="4" w:space="0"/>
              <w:right w:val="single" w:color="auto" w:sz="4" w:space="0"/>
            </w:tcBorders>
            <w:noWrap w:val="0"/>
            <w:vAlign w:val="center"/>
          </w:tcPr>
          <w:p>
            <w:pPr>
              <w:widowControl/>
              <w:spacing w:before="12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工业</w:t>
            </w:r>
          </w:p>
        </w:tc>
      </w:tr>
    </w:tbl>
    <w:p>
      <w:pPr>
        <w:spacing w:line="360" w:lineRule="auto"/>
        <w:ind w:firstLine="437"/>
        <w:rPr>
          <w:rFonts w:hint="eastAsia" w:ascii="宋体" w:hAnsi="宋体" w:eastAsia="宋体" w:cs="宋体"/>
          <w:b/>
          <w:bCs/>
          <w:sz w:val="24"/>
          <w:szCs w:val="18"/>
        </w:rPr>
      </w:pPr>
    </w:p>
    <w:p>
      <w:pPr>
        <w:spacing w:line="360" w:lineRule="auto"/>
        <w:ind w:firstLine="437"/>
        <w:rPr>
          <w:rFonts w:ascii="宋体" w:hAnsi="宋体" w:eastAsia="宋体"/>
          <w:b/>
          <w:bCs/>
          <w:sz w:val="24"/>
          <w:szCs w:val="18"/>
        </w:rPr>
      </w:pPr>
      <w:r>
        <w:rPr>
          <w:rFonts w:hint="eastAsia" w:ascii="宋体" w:hAnsi="宋体" w:eastAsia="宋体"/>
          <w:b/>
          <w:bCs/>
          <w:sz w:val="24"/>
          <w:szCs w:val="18"/>
        </w:rPr>
        <w:t>三、报价要求</w:t>
      </w:r>
    </w:p>
    <w:p>
      <w:pPr>
        <w:spacing w:line="360" w:lineRule="auto"/>
        <w:ind w:firstLine="437"/>
        <w:rPr>
          <w:rFonts w:ascii="宋体" w:hAnsi="宋体" w:eastAsia="宋体"/>
          <w:bCs/>
          <w:sz w:val="24"/>
          <w:szCs w:val="18"/>
        </w:rPr>
      </w:pPr>
      <w:r>
        <w:rPr>
          <w:rFonts w:hint="eastAsia" w:ascii="宋体" w:hAnsi="宋体" w:eastAsia="宋体"/>
          <w:bCs/>
          <w:sz w:val="24"/>
          <w:szCs w:val="18"/>
        </w:rPr>
        <w:t>投标报价包含完成本项目所产生的一切费用，履行期间采购人不再追加任何费用，投标人应综合考虑报价风险。</w:t>
      </w:r>
    </w:p>
    <w:p>
      <w:pPr>
        <w:rPr>
          <w:rFonts w:hint="eastAsia" w:ascii="宋体" w:hAnsi="宋体" w:eastAsia="宋体"/>
          <w:sz w:val="24"/>
        </w:rPr>
      </w:pPr>
      <w:r>
        <w:rPr>
          <w:rFonts w:hint="eastAsia" w:ascii="宋体" w:hAnsi="宋体" w:eastAsia="宋体"/>
          <w:sz w:val="24"/>
        </w:rPr>
        <w:br w:type="page"/>
      </w:r>
    </w:p>
    <w:p>
      <w:pPr>
        <w:spacing w:line="360" w:lineRule="auto"/>
        <w:jc w:val="center"/>
        <w:outlineLvl w:val="1"/>
        <w:rPr>
          <w:rFonts w:hint="eastAsia" w:ascii="宋体" w:hAnsi="宋体" w:eastAsia="宋体"/>
          <w:b/>
          <w:sz w:val="28"/>
          <w:lang w:eastAsia="zh-CN"/>
        </w:rPr>
      </w:pPr>
      <w:r>
        <w:rPr>
          <w:rFonts w:hint="eastAsia" w:ascii="宋体" w:hAnsi="宋体" w:eastAsia="宋体"/>
          <w:b/>
          <w:sz w:val="28"/>
          <w:lang w:eastAsia="zh-CN"/>
        </w:rPr>
        <w:t>评分办法</w:t>
      </w:r>
    </w:p>
    <w:p>
      <w:pPr>
        <w:spacing w:line="360" w:lineRule="auto"/>
        <w:ind w:firstLine="435"/>
        <w:rPr>
          <w:rFonts w:ascii="宋体" w:hAnsi="宋体" w:eastAsia="宋体"/>
          <w:sz w:val="24"/>
        </w:rPr>
      </w:pP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hint="eastAsia" w:ascii="宋体" w:hAnsi="宋体" w:eastAsia="宋体"/>
          <w:sz w:val="24"/>
          <w:u w:val="single"/>
        </w:rPr>
        <w:t>70</w:t>
      </w:r>
      <w:r>
        <w:rPr>
          <w:rFonts w:ascii="宋体" w:hAnsi="宋体" w:eastAsia="宋体"/>
          <w:sz w:val="24"/>
        </w:rPr>
        <w:t>%，价格分值占总分值的权重为</w:t>
      </w:r>
      <w:r>
        <w:rPr>
          <w:rFonts w:hint="eastAsia" w:ascii="宋体" w:hAnsi="宋体" w:eastAsia="宋体"/>
          <w:sz w:val="24"/>
          <w:u w:val="single"/>
        </w:rPr>
        <w:t>30</w:t>
      </w:r>
      <w:r>
        <w:rPr>
          <w:rFonts w:ascii="宋体" w:hAnsi="宋体" w:eastAsia="宋体"/>
          <w:sz w:val="24"/>
        </w:rPr>
        <w:t>%。具体评分细则如下：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720"/>
        <w:gridCol w:w="403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类别</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评分内容</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评分标准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 w:val="24"/>
              </w:rPr>
            </w:pPr>
            <w:r>
              <w:rPr>
                <w:rFonts w:hint="eastAsia" w:ascii="宋体" w:hAnsi="宋体" w:eastAsia="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技术资信分</w:t>
            </w:r>
          </w:p>
          <w:p>
            <w:pPr>
              <w:spacing w:line="360" w:lineRule="auto"/>
              <w:jc w:val="center"/>
              <w:rPr>
                <w:rFonts w:ascii="宋体" w:hAnsi="宋体" w:eastAsia="宋体"/>
                <w:b/>
                <w:bCs/>
                <w:szCs w:val="21"/>
              </w:rPr>
            </w:pPr>
            <w:r>
              <w:rPr>
                <w:rFonts w:hint="eastAsia" w:ascii="宋体" w:hAnsi="宋体" w:eastAsia="宋体"/>
                <w:szCs w:val="21"/>
              </w:rPr>
              <w:t>（</w:t>
            </w:r>
            <w:r>
              <w:rPr>
                <w:rFonts w:hint="eastAsia" w:ascii="宋体" w:hAnsi="宋体" w:eastAsia="宋体"/>
                <w:szCs w:val="21"/>
                <w:u w:val="single"/>
              </w:rPr>
              <w:t>70</w:t>
            </w:r>
            <w:r>
              <w:rPr>
                <w:rFonts w:hint="eastAsia" w:ascii="宋体" w:hAnsi="宋体" w:eastAsia="宋体"/>
                <w:szCs w:val="21"/>
              </w:rPr>
              <w:t>分）</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Cs/>
                <w:szCs w:val="21"/>
              </w:rPr>
            </w:pPr>
            <w:r>
              <w:rPr>
                <w:rFonts w:hint="eastAsia" w:ascii="宋体" w:hAnsi="宋体" w:eastAsia="宋体"/>
                <w:szCs w:val="21"/>
              </w:rPr>
              <w:t>技术参数及要求</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bCs/>
                <w:szCs w:val="21"/>
              </w:rPr>
            </w:pPr>
            <w:r>
              <w:rPr>
                <w:rFonts w:hint="eastAsia" w:ascii="宋体" w:hAnsi="宋体" w:eastAsia="宋体"/>
                <w:bCs/>
                <w:szCs w:val="21"/>
              </w:rPr>
              <w:t>根据所投产品对招标文件的技术参数及要求响应情况进行打分：</w:t>
            </w:r>
          </w:p>
          <w:p>
            <w:pPr>
              <w:spacing w:line="312" w:lineRule="auto"/>
              <w:jc w:val="left"/>
              <w:rPr>
                <w:rFonts w:ascii="宋体" w:hAnsi="宋体" w:eastAsia="宋体"/>
                <w:bCs/>
                <w:szCs w:val="21"/>
              </w:rPr>
            </w:pPr>
            <w:r>
              <w:rPr>
                <w:rFonts w:hint="eastAsia" w:ascii="宋体" w:hAnsi="宋体" w:eastAsia="宋体"/>
                <w:bCs/>
                <w:szCs w:val="21"/>
              </w:rPr>
              <w:t>完全满足或优于招标文件要求的，得满分 35 分；</w:t>
            </w:r>
          </w:p>
          <w:p>
            <w:pPr>
              <w:spacing w:line="312" w:lineRule="auto"/>
              <w:jc w:val="left"/>
              <w:rPr>
                <w:rFonts w:ascii="宋体" w:hAnsi="宋体" w:eastAsia="宋体"/>
                <w:bCs/>
                <w:szCs w:val="21"/>
              </w:rPr>
            </w:pPr>
            <w:r>
              <w:rPr>
                <w:rFonts w:hint="eastAsia" w:ascii="宋体" w:hAnsi="宋体" w:eastAsia="宋体"/>
                <w:bCs/>
                <w:szCs w:val="21"/>
              </w:rPr>
              <w:t>采购需求中每一项加“★”标志的重要响应指标不满足或负偏离扣3分，有五项及以上不满足，则“</w:t>
            </w:r>
            <w:r>
              <w:rPr>
                <w:rFonts w:hint="eastAsia" w:ascii="宋体" w:hAnsi="宋体" w:eastAsia="宋体"/>
                <w:szCs w:val="21"/>
              </w:rPr>
              <w:t>技术参数及要求</w:t>
            </w:r>
            <w:r>
              <w:rPr>
                <w:rFonts w:hint="eastAsia" w:ascii="宋体" w:hAnsi="宋体" w:eastAsia="宋体"/>
                <w:bCs/>
                <w:szCs w:val="21"/>
              </w:rPr>
              <w:t>”得0分；</w:t>
            </w:r>
          </w:p>
          <w:p>
            <w:pPr>
              <w:spacing w:line="312" w:lineRule="auto"/>
              <w:jc w:val="left"/>
              <w:rPr>
                <w:rFonts w:ascii="宋体" w:hAnsi="宋体" w:eastAsia="宋体"/>
                <w:bCs/>
                <w:szCs w:val="21"/>
              </w:rPr>
            </w:pPr>
            <w:r>
              <w:rPr>
                <w:rFonts w:hint="eastAsia" w:ascii="宋体" w:hAnsi="宋体" w:eastAsia="宋体"/>
                <w:bCs/>
                <w:szCs w:val="21"/>
              </w:rPr>
              <w:t xml:space="preserve">采购需求中每一项非“★”标志的响应指标不满足或负偏离扣1分，扣完为止。 </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35</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供货安装（调试）方案</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szCs w:val="21"/>
              </w:rPr>
              <w:t>根据投标人提供的针对本项目的供货（调试）方案，由评委进行综合评审。方案包括但不限于项目供货计划、供货安装措施</w:t>
            </w:r>
            <w:r>
              <w:rPr>
                <w:rFonts w:hint="eastAsia" w:ascii="宋体" w:hAnsi="宋体" w:eastAsia="宋体" w:cs="宋体"/>
              </w:rPr>
              <w:t>及系统技术方案</w:t>
            </w:r>
            <w:r>
              <w:rPr>
                <w:rFonts w:hint="eastAsia" w:ascii="宋体" w:hAnsi="宋体" w:eastAsia="宋体"/>
                <w:szCs w:val="21"/>
              </w:rPr>
              <w:t>等情况。</w:t>
            </w:r>
          </w:p>
          <w:p>
            <w:pPr>
              <w:spacing w:line="312" w:lineRule="auto"/>
              <w:jc w:val="left"/>
              <w:rPr>
                <w:rFonts w:ascii="宋体" w:hAnsi="宋体" w:eastAsia="宋体"/>
                <w:szCs w:val="21"/>
              </w:rPr>
            </w:pPr>
            <w:r>
              <w:rPr>
                <w:rFonts w:hint="eastAsia" w:ascii="宋体" w:hAnsi="宋体" w:eastAsia="宋体"/>
                <w:szCs w:val="21"/>
              </w:rPr>
              <w:t>1、供货计划科学合理，供货安装措施切实可行，</w:t>
            </w:r>
            <w:r>
              <w:rPr>
                <w:rFonts w:hint="eastAsia" w:ascii="宋体" w:hAnsi="宋体" w:eastAsia="宋体" w:cs="宋体"/>
              </w:rPr>
              <w:t>方案描述全面完整</w:t>
            </w:r>
            <w:r>
              <w:rPr>
                <w:rFonts w:hint="eastAsia" w:ascii="宋体" w:hAnsi="宋体" w:eastAsia="宋体"/>
                <w:szCs w:val="21"/>
              </w:rPr>
              <w:t>的，得8分；</w:t>
            </w:r>
          </w:p>
          <w:p>
            <w:pPr>
              <w:spacing w:line="312" w:lineRule="auto"/>
              <w:jc w:val="left"/>
              <w:rPr>
                <w:rFonts w:ascii="宋体" w:hAnsi="宋体" w:eastAsia="宋体"/>
                <w:szCs w:val="21"/>
              </w:rPr>
            </w:pPr>
            <w:r>
              <w:rPr>
                <w:rFonts w:hint="eastAsia" w:ascii="宋体" w:hAnsi="宋体" w:eastAsia="宋体"/>
                <w:szCs w:val="21"/>
              </w:rPr>
              <w:t>2、供货计划基本满足项目需求，具体安装调试措施基本能够满足项目需求，</w:t>
            </w:r>
            <w:r>
              <w:rPr>
                <w:rFonts w:hint="eastAsia" w:ascii="宋体" w:hAnsi="宋体" w:eastAsia="宋体" w:cs="宋体"/>
              </w:rPr>
              <w:t>方案较完整</w:t>
            </w:r>
            <w:r>
              <w:rPr>
                <w:rFonts w:hint="eastAsia" w:ascii="宋体" w:hAnsi="宋体" w:eastAsia="宋体"/>
                <w:szCs w:val="21"/>
              </w:rPr>
              <w:t>的，得5分；</w:t>
            </w:r>
          </w:p>
          <w:p>
            <w:pPr>
              <w:spacing w:line="312" w:lineRule="auto"/>
              <w:jc w:val="left"/>
              <w:rPr>
                <w:rFonts w:ascii="宋体" w:hAnsi="宋体" w:eastAsia="宋体"/>
                <w:szCs w:val="21"/>
              </w:rPr>
            </w:pPr>
            <w:r>
              <w:rPr>
                <w:rFonts w:hint="eastAsia" w:ascii="宋体" w:hAnsi="宋体" w:eastAsia="宋体"/>
                <w:szCs w:val="21"/>
              </w:rPr>
              <w:t>3、供货计划、安装调试措施、技术方案有待进一步完善的，得2分；</w:t>
            </w:r>
          </w:p>
          <w:p>
            <w:pPr>
              <w:spacing w:line="312" w:lineRule="auto"/>
              <w:jc w:val="left"/>
              <w:rPr>
                <w:rFonts w:ascii="宋体" w:hAnsi="宋体" w:eastAsia="宋体"/>
                <w:szCs w:val="21"/>
              </w:rPr>
            </w:pPr>
            <w:r>
              <w:rPr>
                <w:rFonts w:hint="eastAsia" w:ascii="宋体" w:hAnsi="宋体" w:eastAsia="宋体"/>
                <w:szCs w:val="21"/>
              </w:rPr>
              <w:t>4、差或未提供不得分。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8</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售后服务与维保方案</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szCs w:val="21"/>
              </w:rPr>
              <w:t>根据投标人提供的售后服务方案，由评</w:t>
            </w:r>
          </w:p>
          <w:p>
            <w:pPr>
              <w:spacing w:line="312" w:lineRule="auto"/>
              <w:jc w:val="left"/>
              <w:rPr>
                <w:rFonts w:ascii="宋体" w:hAnsi="宋体" w:eastAsia="宋体"/>
                <w:szCs w:val="21"/>
              </w:rPr>
            </w:pPr>
            <w:r>
              <w:rPr>
                <w:rFonts w:hint="eastAsia" w:ascii="宋体" w:hAnsi="宋体" w:eastAsia="宋体"/>
                <w:szCs w:val="21"/>
              </w:rPr>
              <w:t>委进行综合评审：</w:t>
            </w:r>
          </w:p>
          <w:p>
            <w:pPr>
              <w:spacing w:line="312" w:lineRule="auto"/>
              <w:jc w:val="left"/>
              <w:rPr>
                <w:rFonts w:ascii="宋体" w:hAnsi="宋体" w:eastAsia="宋体"/>
                <w:szCs w:val="21"/>
              </w:rPr>
            </w:pPr>
            <w:r>
              <w:rPr>
                <w:rFonts w:hint="eastAsia" w:ascii="宋体" w:hAnsi="宋体" w:eastAsia="宋体"/>
                <w:szCs w:val="21"/>
              </w:rPr>
              <w:t>1、人员数量满足项目需求，安排合理，</w:t>
            </w:r>
          </w:p>
          <w:p>
            <w:pPr>
              <w:spacing w:line="312" w:lineRule="auto"/>
              <w:jc w:val="left"/>
              <w:rPr>
                <w:rFonts w:ascii="宋体" w:hAnsi="宋体" w:eastAsia="宋体"/>
                <w:szCs w:val="21"/>
              </w:rPr>
            </w:pPr>
            <w:r>
              <w:rPr>
                <w:rFonts w:hint="eastAsia" w:ascii="宋体" w:hAnsi="宋体" w:eastAsia="宋体"/>
                <w:szCs w:val="21"/>
              </w:rPr>
              <w:t>针对设备、备品备件维护等内容提供培</w:t>
            </w:r>
          </w:p>
          <w:p>
            <w:pPr>
              <w:spacing w:line="312" w:lineRule="auto"/>
              <w:jc w:val="left"/>
              <w:rPr>
                <w:rFonts w:ascii="宋体" w:hAnsi="宋体" w:eastAsia="宋体"/>
                <w:szCs w:val="21"/>
              </w:rPr>
            </w:pPr>
            <w:r>
              <w:rPr>
                <w:rFonts w:hint="eastAsia" w:ascii="宋体" w:hAnsi="宋体" w:eastAsia="宋体"/>
                <w:szCs w:val="21"/>
              </w:rPr>
              <w:t>训计划，培训方式规范，培训内容完整</w:t>
            </w:r>
          </w:p>
          <w:p>
            <w:pPr>
              <w:spacing w:line="312" w:lineRule="auto"/>
              <w:jc w:val="left"/>
              <w:rPr>
                <w:rFonts w:ascii="宋体" w:hAnsi="宋体" w:eastAsia="宋体"/>
                <w:szCs w:val="21"/>
              </w:rPr>
            </w:pPr>
            <w:r>
              <w:rPr>
                <w:rFonts w:hint="eastAsia" w:ascii="宋体" w:hAnsi="宋体" w:eastAsia="宋体"/>
                <w:szCs w:val="21"/>
              </w:rPr>
              <w:t>详尽的，得6分；</w:t>
            </w:r>
          </w:p>
          <w:p>
            <w:pPr>
              <w:spacing w:line="312" w:lineRule="auto"/>
              <w:jc w:val="left"/>
              <w:rPr>
                <w:rFonts w:ascii="宋体" w:hAnsi="宋体" w:eastAsia="宋体"/>
                <w:szCs w:val="21"/>
              </w:rPr>
            </w:pPr>
            <w:r>
              <w:rPr>
                <w:rFonts w:hint="eastAsia" w:ascii="宋体" w:hAnsi="宋体" w:eastAsia="宋体"/>
                <w:szCs w:val="21"/>
              </w:rPr>
              <w:t>2、人员数量基本满足项目需求，培训</w:t>
            </w:r>
          </w:p>
          <w:p>
            <w:pPr>
              <w:spacing w:line="312" w:lineRule="auto"/>
              <w:jc w:val="left"/>
              <w:rPr>
                <w:rFonts w:ascii="宋体" w:hAnsi="宋体" w:eastAsia="宋体"/>
                <w:szCs w:val="21"/>
              </w:rPr>
            </w:pPr>
            <w:r>
              <w:rPr>
                <w:rFonts w:hint="eastAsia" w:ascii="宋体" w:hAnsi="宋体" w:eastAsia="宋体"/>
                <w:szCs w:val="21"/>
              </w:rPr>
              <w:t>计划及相关措施较为科学得当，具有一</w:t>
            </w:r>
          </w:p>
          <w:p>
            <w:pPr>
              <w:spacing w:line="312" w:lineRule="auto"/>
              <w:jc w:val="left"/>
              <w:rPr>
                <w:rFonts w:ascii="宋体" w:hAnsi="宋体" w:eastAsia="宋体"/>
                <w:szCs w:val="21"/>
              </w:rPr>
            </w:pPr>
            <w:r>
              <w:rPr>
                <w:rFonts w:hint="eastAsia" w:ascii="宋体" w:hAnsi="宋体" w:eastAsia="宋体"/>
                <w:szCs w:val="21"/>
              </w:rPr>
              <w:t>定可行性的，得4分；</w:t>
            </w:r>
          </w:p>
          <w:p>
            <w:pPr>
              <w:spacing w:line="312" w:lineRule="auto"/>
              <w:jc w:val="left"/>
              <w:rPr>
                <w:rFonts w:ascii="宋体" w:hAnsi="宋体" w:eastAsia="宋体"/>
                <w:szCs w:val="21"/>
              </w:rPr>
            </w:pPr>
            <w:r>
              <w:rPr>
                <w:rFonts w:hint="eastAsia" w:ascii="宋体" w:hAnsi="宋体" w:eastAsia="宋体"/>
                <w:szCs w:val="21"/>
              </w:rPr>
              <w:t>3、人员服务及培训计划有待进一步完</w:t>
            </w:r>
          </w:p>
          <w:p>
            <w:pPr>
              <w:spacing w:line="312" w:lineRule="auto"/>
              <w:jc w:val="left"/>
              <w:rPr>
                <w:rFonts w:ascii="宋体" w:hAnsi="宋体" w:eastAsia="宋体"/>
                <w:szCs w:val="21"/>
              </w:rPr>
            </w:pPr>
            <w:r>
              <w:rPr>
                <w:rFonts w:hint="eastAsia" w:ascii="宋体" w:hAnsi="宋体" w:eastAsia="宋体"/>
                <w:szCs w:val="21"/>
              </w:rPr>
              <w:t>善的，得2分；</w:t>
            </w:r>
          </w:p>
          <w:p>
            <w:pPr>
              <w:spacing w:line="312" w:lineRule="auto"/>
              <w:jc w:val="left"/>
              <w:rPr>
                <w:rFonts w:ascii="宋体" w:hAnsi="宋体" w:eastAsia="宋体"/>
                <w:szCs w:val="21"/>
              </w:rPr>
            </w:pPr>
            <w:r>
              <w:rPr>
                <w:rFonts w:hint="eastAsia" w:ascii="宋体" w:hAnsi="宋体" w:eastAsia="宋体"/>
                <w:szCs w:val="21"/>
              </w:rPr>
              <w:t>4、差或未提供任何内容不得分。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6</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业绩</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ascii="宋体" w:hAnsi="宋体" w:eastAsia="宋体"/>
                <w:szCs w:val="21"/>
              </w:rPr>
            </w:pPr>
            <w:r>
              <w:rPr>
                <w:rFonts w:hint="eastAsia" w:ascii="宋体" w:hAnsi="宋体" w:eastAsia="宋体" w:cs="宋体"/>
                <w:szCs w:val="21"/>
              </w:rPr>
              <w:t>投标人</w:t>
            </w:r>
            <w:r>
              <w:rPr>
                <w:rFonts w:hint="eastAsia" w:ascii="宋体" w:hAnsi="宋体" w:eastAsia="宋体"/>
                <w:szCs w:val="21"/>
              </w:rPr>
              <w:t>近三年（201</w:t>
            </w:r>
            <w:r>
              <w:rPr>
                <w:rFonts w:ascii="宋体" w:hAnsi="宋体" w:eastAsia="宋体"/>
                <w:szCs w:val="21"/>
              </w:rPr>
              <w:t>8</w:t>
            </w:r>
            <w:r>
              <w:rPr>
                <w:rFonts w:hint="eastAsia" w:ascii="宋体" w:hAnsi="宋体" w:eastAsia="宋体"/>
                <w:szCs w:val="21"/>
              </w:rPr>
              <w:t>年07月至今）具有轨道交通供配电同类或类似项目业绩，有一个得3分，最多得12分。</w:t>
            </w:r>
          </w:p>
          <w:p>
            <w:pPr>
              <w:spacing w:line="312" w:lineRule="auto"/>
              <w:jc w:val="left"/>
              <w:rPr>
                <w:rFonts w:ascii="宋体" w:hAnsi="宋体" w:eastAsia="宋体"/>
                <w:szCs w:val="21"/>
              </w:rPr>
            </w:pPr>
            <w:r>
              <w:rPr>
                <w:rFonts w:hint="eastAsia" w:ascii="宋体" w:hAnsi="宋体" w:eastAsia="宋体"/>
                <w:b/>
                <w:bCs/>
                <w:szCs w:val="21"/>
              </w:rPr>
              <w:t>注：投标文件中须提供合同以及验收报告扫描件，如合同或验收报告无法体现项目内容、签订日期等内容，须另附业主证明材料，否则不得分。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12</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综合实力</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eastAsia="宋体" w:cs="宋体"/>
                <w:b/>
                <w:bCs/>
                <w:szCs w:val="21"/>
              </w:rPr>
            </w:pPr>
            <w:r>
              <w:rPr>
                <w:rFonts w:hint="eastAsia" w:ascii="宋体" w:hAnsi="宋体" w:eastAsia="宋体" w:cs="宋体"/>
                <w:szCs w:val="21"/>
              </w:rPr>
              <w:t>1、投标人具有轨道交通类技术</w:t>
            </w:r>
            <w:r>
              <w:rPr>
                <w:rFonts w:ascii="宋体" w:hAnsi="宋体" w:eastAsia="宋体" w:cs="宋体"/>
                <w:szCs w:val="21"/>
              </w:rPr>
              <w:t>研发成果或</w:t>
            </w:r>
            <w:r>
              <w:rPr>
                <w:rFonts w:hint="eastAsia" w:ascii="宋体" w:hAnsi="宋体" w:eastAsia="宋体" w:cs="宋体"/>
                <w:szCs w:val="21"/>
              </w:rPr>
              <w:t>荣誉</w:t>
            </w:r>
            <w:r>
              <w:rPr>
                <w:rFonts w:ascii="宋体" w:hAnsi="宋体" w:eastAsia="宋体" w:cs="宋体"/>
                <w:szCs w:val="21"/>
              </w:rPr>
              <w:t>的（</w:t>
            </w:r>
            <w:r>
              <w:rPr>
                <w:rFonts w:hint="eastAsia" w:ascii="宋体" w:hAnsi="宋体" w:eastAsia="宋体" w:cs="宋体"/>
                <w:szCs w:val="21"/>
              </w:rPr>
              <w:t>如发明专利、成果</w:t>
            </w:r>
            <w:r>
              <w:rPr>
                <w:rFonts w:ascii="宋体" w:hAnsi="宋体" w:eastAsia="宋体" w:cs="宋体"/>
                <w:szCs w:val="21"/>
              </w:rPr>
              <w:t>证书、获奖证书</w:t>
            </w:r>
            <w:r>
              <w:rPr>
                <w:rFonts w:hint="eastAsia" w:ascii="宋体" w:hAnsi="宋体" w:eastAsia="宋体" w:cs="宋体"/>
                <w:szCs w:val="21"/>
              </w:rPr>
              <w:t>、</w:t>
            </w:r>
            <w:r>
              <w:rPr>
                <w:rFonts w:ascii="宋体" w:hAnsi="宋体" w:eastAsia="宋体" w:cs="宋体"/>
                <w:szCs w:val="21"/>
              </w:rPr>
              <w:t>荣誉证书</w:t>
            </w:r>
            <w:r>
              <w:rPr>
                <w:rFonts w:hint="eastAsia" w:ascii="宋体" w:hAnsi="宋体" w:eastAsia="宋体" w:cs="宋体"/>
                <w:szCs w:val="21"/>
              </w:rPr>
              <w:t>），每提供1个得1分，本小项最多得3分；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0-</w:t>
            </w:r>
            <w:r>
              <w:rPr>
                <w:rFonts w:hint="eastAsia" w:ascii="宋体" w:hAnsi="宋体" w:eastAsia="宋体" w:cs="宋体"/>
                <w:szCs w:val="21"/>
                <w:u w:val="single"/>
              </w:rPr>
              <w:t>3</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noWrap w:val="0"/>
            <w:vAlign w:val="center"/>
          </w:tcPr>
          <w:p>
            <w:pPr>
              <w:spacing w:line="360" w:lineRule="auto"/>
              <w:ind w:firstLine="435"/>
              <w:jc w:val="center"/>
              <w:rPr>
                <w:rFonts w:ascii="宋体" w:hAnsi="宋体" w:eastAsia="宋体"/>
                <w:b/>
                <w:bCs/>
                <w:szCs w:val="21"/>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体系认证</w:t>
            </w:r>
          </w:p>
        </w:tc>
        <w:tc>
          <w:tcPr>
            <w:tcW w:w="4033" w:type="dxa"/>
            <w:tcBorders>
              <w:top w:val="single" w:color="auto" w:sz="4" w:space="0"/>
              <w:left w:val="single" w:color="auto" w:sz="4" w:space="0"/>
              <w:bottom w:val="single" w:color="auto" w:sz="4" w:space="0"/>
              <w:right w:val="single" w:color="auto" w:sz="4" w:space="0"/>
            </w:tcBorders>
            <w:noWrap w:val="0"/>
            <w:vAlign w:val="center"/>
          </w:tcPr>
          <w:p>
            <w:pPr>
              <w:pStyle w:val="15"/>
              <w:spacing w:line="312" w:lineRule="auto"/>
              <w:rPr>
                <w:rFonts w:hAnsi="宋体" w:eastAsia="宋体" w:cs="宋体"/>
                <w:sz w:val="21"/>
                <w:szCs w:val="21"/>
              </w:rPr>
            </w:pPr>
            <w:r>
              <w:rPr>
                <w:rFonts w:hint="eastAsia" w:hAnsi="宋体" w:eastAsia="宋体" w:cs="宋体"/>
                <w:sz w:val="21"/>
                <w:szCs w:val="21"/>
              </w:rPr>
              <w:t>投标人具有有效的质量管理体系认证证书、环境管理体系认证证书、职业健康安全管理体系认证证书，每提供一个得2分。本项最多得6分。</w:t>
            </w:r>
          </w:p>
          <w:p>
            <w:pPr>
              <w:spacing w:line="312" w:lineRule="auto"/>
              <w:rPr>
                <w:rFonts w:ascii="宋体" w:hAnsi="宋体" w:eastAsia="宋体"/>
                <w:szCs w:val="21"/>
              </w:rPr>
            </w:pPr>
            <w:r>
              <w:rPr>
                <w:rFonts w:hint="eastAsia" w:hAnsi="宋体" w:eastAsia="宋体" w:cs="宋体"/>
                <w:b/>
                <w:bCs/>
                <w:szCs w:val="21"/>
              </w:rPr>
              <w:t>注：投标文件中须同时提供认证证书及全国认证认可公共信息服务平台官网证书查询截图的扫描件或影印件。</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szCs w:val="21"/>
              </w:rPr>
              <w:t>0-</w:t>
            </w:r>
            <w:r>
              <w:rPr>
                <w:rFonts w:hint="eastAsia" w:ascii="宋体" w:hAnsi="宋体" w:eastAsia="宋体" w:cs="宋体"/>
                <w:szCs w:val="21"/>
                <w:u w:val="single"/>
              </w:rPr>
              <w:t>6</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价格分</w:t>
            </w:r>
          </w:p>
          <w:p>
            <w:pPr>
              <w:spacing w:line="360" w:lineRule="auto"/>
              <w:jc w:val="center"/>
              <w:rPr>
                <w:rFonts w:ascii="宋体" w:hAnsi="宋体" w:eastAsia="宋体"/>
                <w:b/>
                <w:bCs/>
                <w:szCs w:val="21"/>
              </w:rPr>
            </w:pPr>
            <w:r>
              <w:rPr>
                <w:rFonts w:hint="eastAsia" w:ascii="宋体" w:hAnsi="宋体" w:eastAsia="宋体"/>
                <w:szCs w:val="21"/>
              </w:rPr>
              <w:t>（</w:t>
            </w:r>
            <w:r>
              <w:rPr>
                <w:rFonts w:hint="eastAsia" w:ascii="宋体" w:hAnsi="宋体" w:eastAsia="宋体"/>
                <w:szCs w:val="21"/>
                <w:u w:val="single"/>
              </w:rPr>
              <w:t>30</w:t>
            </w:r>
            <w:r>
              <w:rPr>
                <w:rFonts w:hint="eastAsia" w:ascii="宋体" w:hAnsi="宋体" w:eastAsia="宋体"/>
                <w:szCs w:val="21"/>
              </w:rPr>
              <w:t>分）</w:t>
            </w:r>
          </w:p>
        </w:tc>
        <w:tc>
          <w:tcPr>
            <w:tcW w:w="704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szCs w:val="21"/>
              </w:rPr>
            </w:pPr>
            <w:r>
              <w:rPr>
                <w:rFonts w:hint="eastAsia" w:ascii="宋体" w:hAnsi="宋体" w:eastAsia="宋体"/>
                <w:szCs w:val="21"/>
              </w:rPr>
              <w:t>价格分统一采用低价优先法，即满足招标文件要求且投标价格最低的投标报价为评标基准价，其价格分为满分</w:t>
            </w:r>
            <w:r>
              <w:rPr>
                <w:rFonts w:hint="eastAsia" w:ascii="宋体" w:hAnsi="宋体" w:eastAsia="宋体"/>
                <w:szCs w:val="21"/>
                <w:u w:val="single"/>
              </w:rPr>
              <w:t>30</w:t>
            </w:r>
            <w:r>
              <w:rPr>
                <w:rFonts w:hint="eastAsia" w:ascii="宋体" w:hAnsi="宋体" w:eastAsia="宋体"/>
                <w:szCs w:val="21"/>
              </w:rPr>
              <w:t>分。其他投标人的价格分统一按照下列公式计算：</w:t>
            </w:r>
          </w:p>
          <w:p>
            <w:pPr>
              <w:spacing w:line="360" w:lineRule="auto"/>
              <w:rPr>
                <w:rFonts w:ascii="宋体" w:hAnsi="宋体" w:eastAsia="宋体"/>
                <w:b/>
                <w:bCs/>
                <w:szCs w:val="21"/>
              </w:rPr>
            </w:pPr>
            <w:r>
              <w:rPr>
                <w:rFonts w:hint="eastAsia" w:ascii="宋体" w:hAnsi="宋体" w:eastAsia="宋体"/>
                <w:szCs w:val="21"/>
              </w:rPr>
              <w:t>投标报价得分＝（评标基准价/投标报价）×</w:t>
            </w:r>
            <w:r>
              <w:rPr>
                <w:rFonts w:hint="eastAsia" w:ascii="宋体" w:hAnsi="宋体" w:eastAsia="宋体"/>
                <w:szCs w:val="21"/>
                <w:u w:val="single"/>
              </w:rPr>
              <w:t>30</w:t>
            </w:r>
            <w:r>
              <w:rPr>
                <w:rFonts w:hint="eastAsia" w:ascii="宋体" w:hAnsi="宋体" w:eastAsia="宋体"/>
                <w:szCs w:val="21"/>
              </w:rPr>
              <w:t>％×100</w:t>
            </w:r>
          </w:p>
        </w:tc>
      </w:tr>
    </w:tbl>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22A"/>
    <w:multiLevelType w:val="multilevel"/>
    <w:tmpl w:val="0A8B322A"/>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E30DD"/>
    <w:multiLevelType w:val="multilevel"/>
    <w:tmpl w:val="170E30D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6F71A75"/>
    <w:multiLevelType w:val="multilevel"/>
    <w:tmpl w:val="26F71A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E8343D"/>
    <w:multiLevelType w:val="multilevel"/>
    <w:tmpl w:val="48E834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AA3DDF"/>
    <w:multiLevelType w:val="multilevel"/>
    <w:tmpl w:val="51AA3DD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9611ED9"/>
    <w:multiLevelType w:val="multilevel"/>
    <w:tmpl w:val="59611ED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6645AD"/>
    <w:multiLevelType w:val="multilevel"/>
    <w:tmpl w:val="616645AD"/>
    <w:lvl w:ilvl="0" w:tentative="0">
      <w:start w:val="1"/>
      <w:numFmt w:val="decimal"/>
      <w:lvlText w:val="%1."/>
      <w:lvlJc w:val="left"/>
      <w:pPr>
        <w:ind w:left="420" w:hanging="420"/>
      </w:pPr>
      <w:rPr>
        <w:rFonts w:hint="default"/>
        <w:b w:val="0"/>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C52438"/>
    <w:multiLevelType w:val="multilevel"/>
    <w:tmpl w:val="6BC52438"/>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1D73D1"/>
    <w:multiLevelType w:val="multilevel"/>
    <w:tmpl w:val="731D73D1"/>
    <w:lvl w:ilvl="0" w:tentative="0">
      <w:start w:val="1"/>
      <w:numFmt w:val="decimal"/>
      <w:suff w:val="space"/>
      <w:lvlText w:val="（%1）"/>
      <w:lvlJc w:val="left"/>
      <w:pPr>
        <w:ind w:left="720" w:hanging="72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8"/>
  </w:num>
  <w:num w:numId="4">
    <w:abstractNumId w:val="6"/>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654FC"/>
    <w:rsid w:val="0FDC72B4"/>
    <w:rsid w:val="4B5654FC"/>
    <w:rsid w:val="4C2E0845"/>
    <w:rsid w:val="7DB3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left="420" w:firstLine="420" w:firstLineChars="200"/>
    </w:p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表"/>
    <w:basedOn w:val="1"/>
    <w:qFormat/>
    <w:uiPriority w:val="0"/>
    <w:pPr>
      <w:widowControl/>
      <w:jc w:val="center"/>
      <w:textAlignment w:val="center"/>
    </w:pPr>
    <w:rPr>
      <w:rFonts w:cs="Times New Roman"/>
      <w:color w:val="0D0D0D"/>
      <w:szCs w:val="21"/>
    </w:rPr>
  </w:style>
  <w:style w:type="character" w:customStyle="1" w:styleId="12">
    <w:name w:val="font51"/>
    <w:qFormat/>
    <w:uiPriority w:val="0"/>
    <w:rPr>
      <w:rFonts w:hint="eastAsia" w:ascii="宋体" w:hAnsi="宋体" w:eastAsia="宋体" w:cs="宋体"/>
      <w:color w:val="000000"/>
      <w:sz w:val="18"/>
      <w:szCs w:val="18"/>
      <w:u w:val="none"/>
    </w:rPr>
  </w:style>
  <w:style w:type="paragraph" w:customStyle="1" w:styleId="13">
    <w:name w:val="表格正文"/>
    <w:qFormat/>
    <w:uiPriority w:val="0"/>
    <w:rPr>
      <w:rFonts w:ascii="宋体" w:hAnsi="宋体" w:eastAsia="宋体" w:cs="Times New Roman"/>
      <w:kern w:val="2"/>
      <w:sz w:val="21"/>
      <w:szCs w:val="21"/>
      <w:lang w:val="en-US" w:eastAsia="zh-CN" w:bidi="ar-SA"/>
    </w:rPr>
  </w:style>
  <w:style w:type="paragraph" w:styleId="14">
    <w:name w:val="List Paragraph"/>
    <w:basedOn w:val="1"/>
    <w:qFormat/>
    <w:uiPriority w:val="34"/>
    <w:pPr>
      <w:ind w:firstLine="420" w:firstLineChars="200"/>
    </w:pPr>
  </w:style>
  <w:style w:type="paragraph" w:customStyle="1" w:styleId="15">
    <w:name w:val="纯文本2"/>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2021-08-30T02:48:00Z</dcterms:created>
  <dc:creator>NTKO</dc:creator>
  <cp:lastModifiedBy>NTKO</cp:lastModifiedBy>
  <dcterms:modified xsi:type="dcterms:W3CDTF">2021-08-30T09:53:09Z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